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关于做好2020年度秋季公职、公司、法律援助律师执业许可有关工作的通知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黑体" w:cs="Times New Roman"/>
          <w:b/>
          <w:sz w:val="36"/>
          <w:szCs w:val="36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各市司法局：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为进一步扎实做好“六稳”工作，全面落实“六保”任务，助力疫情期间企业复工复产，省厅拟开展2020年度秋季公职、公司、法律援助律师执业申请材料审核、审批及发证工作，具体要求如下：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4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材料集中申报时间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2020年9月30日前。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3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二、工作要求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1、申报材料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一式二份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2、申报材料中的资格证书原件、身份证原件由各市初审，并在材料中加盖原件已审章，由厅审批处审核复印件。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3、申报材料需装订成册（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不要装入文件袋或封筒中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），编号并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，编号应与各市所报信息表一致，信息表中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姓名(姓名中间一定不要有空格)、身份证号（需用文本格式填写）、执业机构、资格证号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要重点核对，照片需装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袋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统一上报，照片背后写明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姓名，执业机构和与信息表对应的编号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4、公告名单、信息表及审批表格式要严格按照厅审批处下发模板，不得修改，上报的公告名单中人员情况需与信息表及请示文件中一致。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5、正式申报材料前，请各单位将所申报人员情况梳理清楚，如之前个别单位存在律师在其他省执业尚未注销情况，请申报单位将此情况核准并及时处理后，再申报。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6、单位公函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7、各单位需严格履行初审责任。审批发证过程中出现问题，尽量由各市局将问题统一汇总后报厅审批处，否则厅审批处无法正常开展工作，进而影响整体工作进度。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8、根据我省疫情防控工作需要，如无特殊情况，各市可将初审通过材料邮寄至省厅行政审批处。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4800" w:firstLineChars="15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司法厅行政审批处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4480" w:firstLineChars="14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621075">
    <w:nsid w:val="5F5847D3"/>
    <w:multiLevelType w:val="singleLevel"/>
    <w:tmpl w:val="5F5847D3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996210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2020-09-11T02:11:24Z</dcterms:created>
  <cp:lastModifiedBy>lenovo</cp:lastModifiedBy>
  <dcterms:modified xsi:type="dcterms:W3CDTF">2020-09-11T02:12:49Z</dcterms:modified>
  <dc:title>关于做好2020年度秋季公职、公司、法律援助律师执业许可有关工作的通知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