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notes.xml" ContentType="application/vnd.openxmlformats-officedocument.wordprocessingml.footnotes+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5256341E">
      <w:pPr>
        <w:jc w:val="center"/>
      </w:pPr>
      <w:r>
        <w:rPr>
          <w:color w:val="FF0000"/>
        </w:rPr>
        <w:pict>
          <v:shape id="_x0000_s2050" o:spid="_x0000_s2050" o:spt="32" type="#_x0000_t32" style="position:absolute;left:0pt;flip:y;margin-left:-21pt;margin-top:61.5pt;height:0.8pt;width:456.55pt;z-index:251659264;mso-width-relative:page;mso-height-relative:page;" filled="f" stroked="t" coordsize="21600,21600">
            <v:path arrowok="t"/>
            <v:fill on="f" focussize="0,0"/>
            <v:stroke weight="1.5pt" color="#FF0000"/>
            <v:imagedata o:title=""/>
            <o:lock v:ext="edit"/>
          </v:shape>
        </w:pict>
      </w:r>
      <w:r>
        <w:rPr>
          <w:rFonts w:hint="eastAsia" w:ascii="方正小标宋_GBK" w:eastAsia="方正小标宋_GBK"/>
          <w:color w:val="FF0000"/>
          <w:spacing w:val="80"/>
          <w:sz w:val="72"/>
          <w:szCs w:val="72"/>
        </w:rPr>
        <w:t>本溪市公安局</w:t>
      </w:r>
    </w:p>
    <w:p w14:paraId="6AAE584A">
      <w:pPr>
        <w:tabs>
          <w:tab w:val="right" w:pos="8306"/>
        </w:tabs>
        <w:ind w:right="160"/>
        <w:jc w:val="right"/>
        <w:rPr>
          <w:rFonts w:ascii="仿宋_GB2312" w:eastAsia="仿宋_GB2312"/>
          <w:sz w:val="32"/>
          <w:szCs w:val="32"/>
        </w:rPr>
      </w:pPr>
    </w:p>
    <w:p w14:paraId="2A52C227">
      <w:pPr>
        <w:tabs>
          <w:tab w:val="right" w:pos="8306"/>
        </w:tabs>
        <w:ind w:right="160"/>
        <w:jc w:val="right"/>
        <w:rPr>
          <w:rFonts w:ascii="仿宋_GB2312" w:eastAsia="仿宋_GB2312"/>
          <w:sz w:val="32"/>
          <w:szCs w:val="32"/>
        </w:rPr>
      </w:pPr>
      <w:r>
        <w:rPr>
          <w:rFonts w:hint="eastAsia" w:ascii="仿宋_GB2312" w:eastAsia="仿宋_GB2312"/>
          <w:sz w:val="32"/>
          <w:szCs w:val="32"/>
        </w:rPr>
        <w:t xml:space="preserve"> (</w:t>
      </w:r>
      <w:r>
        <w:rPr>
          <w:rFonts w:hint="eastAsia" w:ascii="仿宋_GB2312" w:eastAsia="仿宋_GB2312"/>
          <w:sz w:val="32"/>
          <w:szCs w:val="32"/>
          <w:lang w:val="en-US" w:eastAsia="zh-CN"/>
        </w:rPr>
        <w:t>A</w:t>
      </w:r>
      <w:r>
        <w:rPr>
          <w:rFonts w:hint="eastAsia" w:ascii="仿宋_GB2312" w:eastAsia="仿宋_GB2312"/>
          <w:sz w:val="32"/>
          <w:szCs w:val="32"/>
        </w:rPr>
        <w:t>类)</w:t>
      </w:r>
    </w:p>
    <w:p w14:paraId="37C6AD83">
      <w:pPr>
        <w:tabs>
          <w:tab w:val="right" w:pos="8306"/>
        </w:tabs>
        <w:wordWrap w:val="0"/>
        <w:jc w:val="right"/>
        <w:rPr>
          <w:rFonts w:ascii="仿宋_GB2312" w:eastAsia="仿宋_GB2312"/>
          <w:sz w:val="32"/>
          <w:szCs w:val="32"/>
        </w:rPr>
      </w:pPr>
      <w:r>
        <w:rPr>
          <w:rFonts w:hint="eastAsia" w:ascii="仿宋_GB2312" w:eastAsia="仿宋_GB2312"/>
          <w:sz w:val="32"/>
          <w:szCs w:val="32"/>
        </w:rPr>
        <w:t xml:space="preserve">公开 </w:t>
      </w:r>
    </w:p>
    <w:p w14:paraId="6B432B20">
      <w:pPr>
        <w:widowControl w:val="0"/>
        <w:adjustRightInd/>
        <w:snapToGrid/>
        <w:spacing w:after="0" w:line="600" w:lineRule="exact"/>
        <w:ind w:firstLine="640" w:firstLineChars="200"/>
        <w:jc w:val="right"/>
        <w:outlineLvl w:val="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本公案字〔2024〕第1号</w:t>
      </w:r>
    </w:p>
    <w:p w14:paraId="1F1D56CB">
      <w:pPr>
        <w:tabs>
          <w:tab w:val="right" w:pos="8306"/>
        </w:tabs>
        <w:jc w:val="right"/>
        <w:rPr>
          <w:rFonts w:ascii="仿宋_GB2312" w:eastAsia="仿宋_GB2312"/>
          <w:sz w:val="32"/>
          <w:szCs w:val="32"/>
        </w:rPr>
      </w:pPr>
    </w:p>
    <w:p w14:paraId="232A4EE0">
      <w:pPr>
        <w:tabs>
          <w:tab w:val="right" w:pos="8306"/>
        </w:tabs>
        <w:spacing w:line="640" w:lineRule="exact"/>
        <w:jc w:val="center"/>
        <w:rPr>
          <w:rFonts w:ascii="宋体" w:hAnsi="宋体" w:eastAsia="宋体" w:cs="宋体"/>
          <w:sz w:val="44"/>
          <w:szCs w:val="44"/>
        </w:rPr>
      </w:pPr>
      <w:r>
        <w:rPr>
          <w:rFonts w:hint="eastAsia" w:ascii="宋体" w:hAnsi="宋体" w:eastAsia="宋体" w:cs="宋体"/>
          <w:sz w:val="44"/>
          <w:szCs w:val="44"/>
        </w:rPr>
        <w:t>关于对政协本溪市第十四届委员会</w:t>
      </w:r>
    </w:p>
    <w:p w14:paraId="66A2F324">
      <w:pPr>
        <w:tabs>
          <w:tab w:val="right" w:pos="8306"/>
        </w:tabs>
        <w:spacing w:line="640" w:lineRule="exact"/>
        <w:jc w:val="center"/>
        <w:rPr>
          <w:rFonts w:ascii="宋体" w:hAnsi="宋体" w:eastAsia="宋体" w:cs="宋体"/>
          <w:sz w:val="44"/>
          <w:szCs w:val="44"/>
        </w:rPr>
      </w:pPr>
      <w:r>
        <w:rPr>
          <w:rFonts w:hint="eastAsia" w:ascii="宋体" w:hAnsi="宋体" w:eastAsia="宋体" w:cs="宋体"/>
          <w:sz w:val="44"/>
          <w:szCs w:val="44"/>
        </w:rPr>
        <w:t>第三次会议第</w:t>
      </w:r>
      <w:r>
        <w:rPr>
          <w:rFonts w:hint="eastAsia" w:ascii="宋体" w:hAnsi="宋体" w:eastAsia="宋体" w:cs="宋体"/>
          <w:bCs/>
          <w:sz w:val="44"/>
          <w:szCs w:val="44"/>
        </w:rPr>
        <w:t>3057</w:t>
      </w:r>
      <w:r>
        <w:rPr>
          <w:rFonts w:hint="eastAsia" w:ascii="宋体" w:hAnsi="宋体" w:eastAsia="宋体" w:cs="宋体"/>
          <w:sz w:val="44"/>
          <w:szCs w:val="44"/>
        </w:rPr>
        <w:t>号提案办理情况的答复</w:t>
      </w:r>
    </w:p>
    <w:p w14:paraId="2B8BC535">
      <w:pPr>
        <w:tabs>
          <w:tab w:val="right" w:pos="8306"/>
        </w:tabs>
        <w:spacing w:after="0" w:line="560" w:lineRule="exact"/>
        <w:rPr>
          <w:rFonts w:ascii="仿宋_GB2312" w:hAnsi="仿宋_GB2312" w:eastAsia="仿宋_GB2312" w:cs="仿宋_GB2312"/>
          <w:sz w:val="32"/>
          <w:szCs w:val="32"/>
        </w:rPr>
      </w:pPr>
    </w:p>
    <w:p w14:paraId="461ADE58">
      <w:pPr>
        <w:tabs>
          <w:tab w:val="right" w:pos="8306"/>
        </w:tabs>
        <w:spacing w:after="0"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李晓东、 杨秀峰委员：</w:t>
      </w:r>
    </w:p>
    <w:p w14:paraId="4BA120C2">
      <w:pPr>
        <w:widowControl w:val="0"/>
        <w:adjustRightInd/>
        <w:snapToGrid/>
        <w:spacing w:after="0"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lang w:eastAsia="zh-CN"/>
        </w:rPr>
        <w:t>你们</w:t>
      </w:r>
      <w:bookmarkStart w:id="0" w:name="_GoBack"/>
      <w:bookmarkEnd w:id="0"/>
      <w:r>
        <w:rPr>
          <w:rFonts w:hint="eastAsia" w:ascii="仿宋_GB2312" w:hAnsi="仿宋_GB2312" w:eastAsia="仿宋_GB2312" w:cs="仿宋_GB2312"/>
          <w:kern w:val="2"/>
          <w:sz w:val="32"/>
          <w:szCs w:val="32"/>
        </w:rPr>
        <w:t>共同提出的《关于在溪湖区河西铁路口北侧施划黄色禁停网格标线及安装红绿灯的提案》收悉。</w:t>
      </w:r>
    </w:p>
    <w:p w14:paraId="593780FF">
      <w:pPr>
        <w:widowControl w:val="0"/>
        <w:adjustRightInd/>
        <w:snapToGrid/>
        <w:spacing w:after="0" w:line="560" w:lineRule="exact"/>
        <w:ind w:firstLine="640" w:firstLineChars="200"/>
        <w:jc w:val="both"/>
        <w:outlineLvl w:val="0"/>
        <w:rPr>
          <w:rFonts w:ascii="仿宋_GB2312" w:hAnsi="仿宋" w:eastAsia="仿宋_GB2312" w:cs="Times New Roman"/>
          <w:kern w:val="2"/>
          <w:sz w:val="32"/>
          <w:szCs w:val="32"/>
        </w:rPr>
      </w:pPr>
      <w:r>
        <w:rPr>
          <w:rFonts w:hint="eastAsia" w:ascii="仿宋_GB2312" w:hAnsi="仿宋" w:eastAsia="仿宋_GB2312" w:cs="Times New Roman"/>
          <w:kern w:val="2"/>
          <w:sz w:val="32"/>
          <w:szCs w:val="32"/>
        </w:rPr>
        <w:t>首先，非常感谢您对公安工作的关心和支持，本溪市公安局将继续在市委、市政府的坚强领导下，聚焦本溪“34456”发展战略，不断深化“政治、民意、实战、法治、强基”等五个导向，努力打造“党建+民意”双中心、“情指行”一体化、基层基础建设、执法监督管理、“四个110”等五个品牌，全面提升防控风险、维护稳定、护航发展、依法履职、规范管理等五个能力，始终坚持“人民群众无小事”，用心倾听民意诉求，切实为人民群众办好事办实事，特别是政协委员提出的有代表性的问题和建议，副市长、公安局长张继承同志高度关注和重视，亲自主持召开专题会议，组织相关警种、部门进行工作研究与部署，力求第一时间落实解决。现答复如下：</w:t>
      </w:r>
    </w:p>
    <w:p w14:paraId="155340E5">
      <w:pPr>
        <w:widowControl w:val="0"/>
        <w:adjustRightInd/>
        <w:snapToGrid/>
        <w:spacing w:after="0"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溪湖河西铁道路口是溪湖重要的内循环枢纽，是市区通往后湖、柳塘等地的唯一通道。目前，该铁道口每天火车通行约18班次，由于火车通行需要提前封闭道口，导致每次火车路过交通阻断10-30分钟，等候的车辆竟相争位、无序行车问题突出，经实地调研，现将工作情况报告如下：</w:t>
      </w:r>
    </w:p>
    <w:p w14:paraId="3DCB4CA6">
      <w:pPr>
        <w:widowControl w:val="0"/>
        <w:adjustRightInd/>
        <w:snapToGrid/>
        <w:spacing w:after="0"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 xml:space="preserve">一、针对“在河西铁道口北侧三角区域施划道路标线和禁停网格线”的建议  </w:t>
      </w:r>
    </w:p>
    <w:p w14:paraId="18926B0E">
      <w:pPr>
        <w:spacing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2023年，市公安局交管局已组织溪湖交警在溪湖区河西铁道口北侧（和谐佳园售楼处前）三角区域施划黄色禁停网格线。2024年，将持续对该路段交通设施进行排查，修复完善破损标志、标线，同时，积极协调政府部门，在条件允许的情况下，有计划的施划停车泊位。</w:t>
      </w:r>
    </w:p>
    <w:p w14:paraId="6A480B28">
      <w:pPr>
        <w:spacing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二、针对“安装违章拍照摄像头，对违法行为进行处罚”的建议</w:t>
      </w:r>
    </w:p>
    <w:p w14:paraId="2FBD6DEE">
      <w:pPr>
        <w:widowControl w:val="0"/>
        <w:adjustRightInd/>
        <w:snapToGrid/>
        <w:spacing w:after="0"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近年来，在政府的大力支持下，市公安局已在溪湖路安装了9套违停电子抓拍系统，下一步，市公安局交警部门将持续优化该路段交通组织，加大对违停车辆交通违法行为查处力度。</w:t>
      </w:r>
    </w:p>
    <w:p w14:paraId="7EF071EB">
      <w:pPr>
        <w:spacing w:after="0" w:line="560" w:lineRule="exact"/>
        <w:ind w:firstLine="640" w:firstLineChars="20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三、针对“清真寺方向设立与火车道闸联动信号灯”的建议</w:t>
      </w:r>
    </w:p>
    <w:p w14:paraId="7BDA0848">
      <w:pPr>
        <w:widowControl w:val="0"/>
        <w:adjustRightInd/>
        <w:snapToGrid/>
        <w:spacing w:after="0" w:line="560" w:lineRule="exact"/>
        <w:ind w:firstLine="640" w:firstLineChars="200"/>
        <w:jc w:val="both"/>
        <w:outlineLvl w:val="0"/>
        <w:rPr>
          <w:rFonts w:ascii="仿宋_GB2312" w:hAnsi="仿宋_GB2312" w:eastAsia="仿宋_GB2312" w:cs="仿宋_GB2312"/>
          <w:kern w:val="2"/>
          <w:sz w:val="32"/>
          <w:szCs w:val="32"/>
        </w:rPr>
      </w:pPr>
      <w:r>
        <w:rPr>
          <w:rFonts w:hint="eastAsia" w:ascii="仿宋_GB2312" w:hAnsi="仿宋_GB2312" w:eastAsia="仿宋_GB2312" w:cs="仿宋_GB2312"/>
          <w:kern w:val="2"/>
          <w:sz w:val="32"/>
          <w:szCs w:val="32"/>
        </w:rPr>
        <w:t>市公安局交管局将在清真寺方向设立信号灯工作，纳入2024年工作计划，在财政条件允许的情况下，按照《道路交通信号灯设置与安装规范》科学设置，减少因火车通行，带来的交通秩序混乱问题。同时，积极与铁路部门协调，争取得到铁路部门支持，做好火车道闸信号联动。在信号灯未设置前，市公安局将组织溪湖交警部门以“动静态”巡逻管控等方式，加大交通秩序管理，为百姓营造安全畅通有序的交通环境。</w:t>
      </w:r>
    </w:p>
    <w:p w14:paraId="5251CDA8">
      <w:pPr>
        <w:widowControl w:val="0"/>
        <w:tabs>
          <w:tab w:val="right" w:pos="8306"/>
        </w:tabs>
        <w:adjustRightInd/>
        <w:snapToGrid/>
        <w:spacing w:after="0" w:line="560" w:lineRule="exact"/>
        <w:ind w:firstLine="640" w:firstLineChars="200"/>
        <w:rPr>
          <w:rFonts w:ascii="仿宋_GB2312" w:hAnsi="仿宋_GB2312" w:eastAsia="仿宋_GB2312" w:cs="仿宋_GB2312"/>
          <w:kern w:val="2"/>
          <w:sz w:val="32"/>
          <w:szCs w:val="32"/>
        </w:rPr>
      </w:pPr>
      <w:r>
        <w:rPr>
          <w:rFonts w:hint="eastAsia" w:ascii="Times New Roman" w:hAnsi="Times New Roman" w:eastAsia="仿宋_GB2312" w:cs="Times New Roman"/>
          <w:sz w:val="32"/>
          <w:szCs w:val="32"/>
        </w:rPr>
        <w:t>特此答复，</w:t>
      </w:r>
      <w:r>
        <w:rPr>
          <w:rFonts w:ascii="Times New Roman" w:hAnsi="Times New Roman" w:eastAsia="仿宋_GB2312" w:cs="Times New Roman"/>
          <w:sz w:val="32"/>
          <w:szCs w:val="32"/>
        </w:rPr>
        <w:t>再次感谢您对</w:t>
      </w:r>
      <w:r>
        <w:rPr>
          <w:rFonts w:hint="eastAsia" w:ascii="Times New Roman" w:hAnsi="Times New Roman" w:eastAsia="仿宋_GB2312" w:cs="Times New Roman"/>
          <w:sz w:val="32"/>
          <w:szCs w:val="32"/>
        </w:rPr>
        <w:t>我市公安</w:t>
      </w:r>
      <w:r>
        <w:rPr>
          <w:rFonts w:ascii="Times New Roman" w:hAnsi="Times New Roman" w:eastAsia="仿宋_GB2312" w:cs="Times New Roman"/>
          <w:sz w:val="32"/>
          <w:szCs w:val="32"/>
        </w:rPr>
        <w:t>工作的</w:t>
      </w:r>
      <w:r>
        <w:rPr>
          <w:rFonts w:hint="eastAsia" w:ascii="Times New Roman" w:hAnsi="Times New Roman" w:eastAsia="仿宋_GB2312" w:cs="Times New Roman"/>
          <w:sz w:val="32"/>
          <w:szCs w:val="32"/>
        </w:rPr>
        <w:t>支持与理解</w:t>
      </w:r>
      <w:r>
        <w:rPr>
          <w:rFonts w:ascii="Times New Roman" w:hAnsi="Times New Roman" w:eastAsia="仿宋_GB2312" w:cs="Times New Roman"/>
          <w:sz w:val="32"/>
          <w:szCs w:val="32"/>
        </w:rPr>
        <w:t>！</w:t>
      </w:r>
    </w:p>
    <w:p w14:paraId="47681935">
      <w:pPr>
        <w:tabs>
          <w:tab w:val="left" w:pos="6015"/>
        </w:tabs>
        <w:spacing w:after="0" w:line="560" w:lineRule="exact"/>
        <w:ind w:firstLine="640" w:firstLineChars="200"/>
        <w:rPr>
          <w:rFonts w:ascii="仿宋_GB2312" w:hAnsi="仿宋_GB2312" w:eastAsia="仿宋_GB2312" w:cs="仿宋_GB2312"/>
          <w:kern w:val="2"/>
          <w:sz w:val="32"/>
          <w:szCs w:val="32"/>
        </w:rPr>
      </w:pPr>
    </w:p>
    <w:p w14:paraId="3B983357">
      <w:pPr>
        <w:tabs>
          <w:tab w:val="left" w:pos="6015"/>
        </w:tabs>
        <w:spacing w:after="0" w:line="560" w:lineRule="exact"/>
        <w:ind w:firstLine="640" w:firstLineChars="200"/>
        <w:rPr>
          <w:rFonts w:ascii="仿宋_GB2312" w:hAnsi="仿宋_GB2312" w:eastAsia="仿宋_GB2312" w:cs="仿宋_GB2312"/>
          <w:kern w:val="2"/>
          <w:sz w:val="32"/>
          <w:szCs w:val="32"/>
        </w:rPr>
      </w:pPr>
    </w:p>
    <w:p w14:paraId="43A0F77F">
      <w:pPr>
        <w:tabs>
          <w:tab w:val="left" w:pos="6015"/>
        </w:tabs>
        <w:wordWrap w:val="0"/>
        <w:spacing w:after="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本溪市公安局      </w:t>
      </w:r>
    </w:p>
    <w:p w14:paraId="4BF245A3">
      <w:pPr>
        <w:tabs>
          <w:tab w:val="left" w:pos="4775"/>
        </w:tabs>
        <w:wordWrap w:val="0"/>
        <w:spacing w:after="0" w:line="560" w:lineRule="exact"/>
        <w:ind w:firstLine="640" w:firstLineChars="200"/>
        <w:jc w:val="right"/>
        <w:rPr>
          <w:rFonts w:ascii="仿宋_GB2312" w:hAnsi="仿宋_GB2312" w:eastAsia="仿宋_GB2312" w:cs="仿宋_GB2312"/>
          <w:sz w:val="32"/>
          <w:szCs w:val="32"/>
        </w:rPr>
      </w:pPr>
      <w:r>
        <w:rPr>
          <w:rFonts w:hint="eastAsia" w:ascii="仿宋_GB2312" w:hAnsi="仿宋_GB2312" w:eastAsia="仿宋_GB2312" w:cs="仿宋_GB2312"/>
          <w:sz w:val="32"/>
          <w:szCs w:val="32"/>
        </w:rPr>
        <w:tab/>
      </w:r>
      <w:r>
        <w:rPr>
          <w:rFonts w:hint="eastAsia" w:ascii="仿宋_GB2312" w:hAnsi="仿宋_GB2312" w:eastAsia="仿宋_GB2312" w:cs="仿宋_GB2312"/>
          <w:sz w:val="32"/>
          <w:szCs w:val="32"/>
        </w:rPr>
        <w:t xml:space="preserve">2024年2月28日    </w:t>
      </w:r>
    </w:p>
    <w:p w14:paraId="71B73D74">
      <w:pPr>
        <w:tabs>
          <w:tab w:val="left" w:pos="4775"/>
        </w:tabs>
        <w:wordWrap w:val="0"/>
        <w:spacing w:after="0" w:line="560" w:lineRule="exact"/>
        <w:ind w:firstLine="640" w:firstLineChars="200"/>
        <w:jc w:val="right"/>
        <w:rPr>
          <w:rFonts w:ascii="仿宋_GB2312" w:hAnsi="仿宋_GB2312" w:eastAsia="仿宋_GB2312" w:cs="仿宋_GB2312"/>
          <w:sz w:val="32"/>
          <w:szCs w:val="32"/>
        </w:rPr>
      </w:pPr>
    </w:p>
    <w:p w14:paraId="284EA9B2">
      <w:pPr>
        <w:tabs>
          <w:tab w:val="left" w:pos="4775"/>
        </w:tabs>
        <w:wordWrap w:val="0"/>
        <w:spacing w:after="0" w:line="560" w:lineRule="exact"/>
        <w:jc w:val="both"/>
        <w:rPr>
          <w:rFonts w:ascii="仿宋_GB2312" w:hAnsi="仿宋_GB2312" w:eastAsia="仿宋_GB2312" w:cs="仿宋_GB2312"/>
          <w:sz w:val="32"/>
          <w:szCs w:val="32"/>
        </w:rPr>
      </w:pPr>
    </w:p>
    <w:p w14:paraId="63CA39D1">
      <w:pPr>
        <w:tabs>
          <w:tab w:val="left" w:pos="4775"/>
        </w:tabs>
        <w:wordWrap w:val="0"/>
        <w:spacing w:after="0" w:line="560" w:lineRule="exact"/>
        <w:ind w:firstLine="640" w:firstLineChars="200"/>
        <w:jc w:val="right"/>
        <w:rPr>
          <w:rFonts w:ascii="仿宋_GB2312" w:hAnsi="仿宋_GB2312" w:eastAsia="仿宋_GB2312" w:cs="仿宋_GB2312"/>
          <w:sz w:val="32"/>
          <w:szCs w:val="32"/>
        </w:rPr>
      </w:pPr>
    </w:p>
    <w:p w14:paraId="01FD7397">
      <w:pPr>
        <w:tabs>
          <w:tab w:val="left" w:pos="4775"/>
        </w:tabs>
        <w:wordWrap w:val="0"/>
        <w:spacing w:after="0" w:line="560" w:lineRule="exact"/>
        <w:ind w:firstLine="640" w:firstLineChars="200"/>
        <w:jc w:val="right"/>
        <w:rPr>
          <w:rFonts w:ascii="仿宋_GB2312" w:hAnsi="仿宋_GB2312" w:eastAsia="仿宋_GB2312" w:cs="仿宋_GB2312"/>
          <w:sz w:val="32"/>
          <w:szCs w:val="32"/>
        </w:rPr>
      </w:pPr>
    </w:p>
    <w:p w14:paraId="603FD422">
      <w:pPr>
        <w:tabs>
          <w:tab w:val="left" w:pos="4775"/>
        </w:tabs>
        <w:spacing w:after="0" w:line="560" w:lineRule="exact"/>
        <w:ind w:firstLine="640" w:firstLineChars="200"/>
        <w:jc w:val="right"/>
        <w:rPr>
          <w:rFonts w:ascii="仿宋_GB2312" w:hAnsi="仿宋_GB2312" w:eastAsia="仿宋_GB2312" w:cs="仿宋_GB2312"/>
          <w:sz w:val="32"/>
          <w:szCs w:val="32"/>
        </w:rPr>
      </w:pPr>
    </w:p>
    <w:p w14:paraId="2E02601C">
      <w:pPr>
        <w:tabs>
          <w:tab w:val="left" w:pos="4775"/>
        </w:tabs>
        <w:spacing w:after="0" w:line="560" w:lineRule="exact"/>
        <w:ind w:firstLine="640" w:firstLineChars="200"/>
        <w:jc w:val="right"/>
        <w:rPr>
          <w:rFonts w:ascii="仿宋_GB2312" w:hAnsi="仿宋_GB2312" w:eastAsia="仿宋_GB2312" w:cs="仿宋_GB2312"/>
          <w:sz w:val="32"/>
          <w:szCs w:val="32"/>
        </w:rPr>
      </w:pPr>
    </w:p>
    <w:p w14:paraId="46424A01">
      <w:pPr>
        <w:tabs>
          <w:tab w:val="left" w:pos="4775"/>
        </w:tabs>
        <w:spacing w:after="0" w:line="560" w:lineRule="exact"/>
        <w:ind w:firstLine="640" w:firstLineChars="200"/>
        <w:jc w:val="right"/>
        <w:rPr>
          <w:rFonts w:ascii="仿宋_GB2312" w:hAnsi="仿宋_GB2312" w:eastAsia="仿宋_GB2312" w:cs="仿宋_GB2312"/>
          <w:sz w:val="32"/>
          <w:szCs w:val="32"/>
        </w:rPr>
      </w:pPr>
    </w:p>
    <w:p w14:paraId="4DE14832">
      <w:pPr>
        <w:tabs>
          <w:tab w:val="left" w:pos="4775"/>
        </w:tabs>
        <w:spacing w:after="0" w:line="560" w:lineRule="exact"/>
        <w:ind w:firstLine="640" w:firstLineChars="200"/>
        <w:jc w:val="right"/>
        <w:rPr>
          <w:rFonts w:ascii="仿宋_GB2312" w:hAnsi="仿宋_GB2312" w:eastAsia="仿宋_GB2312" w:cs="仿宋_GB2312"/>
          <w:sz w:val="32"/>
          <w:szCs w:val="32"/>
        </w:rPr>
      </w:pPr>
    </w:p>
    <w:p w14:paraId="4434031E">
      <w:pPr>
        <w:tabs>
          <w:tab w:val="left" w:pos="4775"/>
        </w:tabs>
        <w:wordWrap w:val="0"/>
        <w:spacing w:after="0" w:line="560" w:lineRule="exact"/>
        <w:jc w:val="both"/>
        <w:rPr>
          <w:rFonts w:ascii="仿宋_GB2312" w:hAnsi="仿宋_GB2312" w:eastAsia="仿宋_GB2312" w:cs="仿宋_GB2312"/>
          <w:sz w:val="32"/>
          <w:szCs w:val="32"/>
        </w:rPr>
      </w:pPr>
    </w:p>
    <w:p w14:paraId="05EB7879">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 xml:space="preserve">责任领导：张继承 </w:t>
      </w:r>
    </w:p>
    <w:p w14:paraId="2B208D3E">
      <w:pPr>
        <w:widowControl w:val="0"/>
        <w:adjustRightInd/>
        <w:snapToGrid/>
        <w:spacing w:after="0" w:line="560" w:lineRule="exact"/>
        <w:jc w:val="both"/>
        <w:outlineLvl w:val="0"/>
        <w:rPr>
          <w:rFonts w:ascii="仿宋_GB2312" w:hAnsi="仿宋_GB2312" w:eastAsia="仿宋_GB2312" w:cs="仿宋_GB2312"/>
          <w:kern w:val="2"/>
          <w:sz w:val="28"/>
          <w:szCs w:val="28"/>
        </w:rPr>
      </w:pPr>
      <w:r>
        <w:rPr>
          <w:rFonts w:hint="eastAsia" w:ascii="仿宋_GB2312" w:hAnsi="仿宋_GB2312" w:eastAsia="仿宋_GB2312" w:cs="仿宋_GB2312"/>
          <w:kern w:val="2"/>
          <w:sz w:val="28"/>
          <w:szCs w:val="28"/>
        </w:rPr>
        <w:t>联系人及电话：胡浩钧   1</w:t>
      </w:r>
      <w:r>
        <w:rPr>
          <w:rFonts w:hint="eastAsia" w:ascii="仿宋_GB2312" w:hAnsi="仿宋_GB2312" w:eastAsia="仿宋_GB2312" w:cs="仿宋_GB2312"/>
          <w:kern w:val="2"/>
          <w:sz w:val="28"/>
          <w:szCs w:val="28"/>
          <w:lang w:val="en-US" w:eastAsia="zh-CN"/>
        </w:rPr>
        <w:t>8804146555</w:t>
      </w:r>
    </w:p>
    <w:p w14:paraId="5642DA7A">
      <w:pPr>
        <w:widowControl w:val="0"/>
        <w:adjustRightInd/>
        <w:snapToGrid/>
        <w:spacing w:after="0" w:line="560" w:lineRule="exact"/>
        <w:jc w:val="both"/>
        <w:outlineLvl w:val="0"/>
        <w:rPr>
          <w:rFonts w:ascii="仿宋_GB2312" w:hAnsi="仿宋_GB2312" w:eastAsia="仿宋_GB2312" w:cs="仿宋_GB2312"/>
          <w:sz w:val="28"/>
          <w:szCs w:val="28"/>
        </w:rPr>
      </w:pPr>
      <w:r>
        <w:rPr>
          <w:rFonts w:hint="eastAsia" w:ascii="仿宋_GB2312" w:hAnsi="仿宋_GB2312" w:eastAsia="仿宋_GB2312" w:cs="仿宋_GB2312"/>
          <w:kern w:val="2"/>
          <w:sz w:val="28"/>
          <w:szCs w:val="28"/>
        </w:rPr>
        <w:t>抄送：市政协提案委、市政府办公室</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Tahoma">
    <w:panose1 w:val="020B0604030504040204"/>
    <w:charset w:val="00"/>
    <w:family w:val="swiss"/>
    <w:pitch w:val="default"/>
    <w:sig w:usb0="E1002EFF" w:usb1="C000605B" w:usb2="00000029" w:usb3="00000000" w:csb0="200101FF" w:csb1="20280000"/>
  </w:font>
  <w:font w:name="微软雅黑">
    <w:panose1 w:val="020B0503020204020204"/>
    <w:charset w:val="86"/>
    <w:family w:val="swiss"/>
    <w:pitch w:val="default"/>
    <w:sig w:usb0="80000287" w:usb1="280F3C52" w:usb2="00000016" w:usb3="00000000" w:csb0="0004001F" w:csb1="00000000"/>
  </w:font>
  <w:font w:name="方正小标宋_GBK">
    <w:panose1 w:val="03000509000000000000"/>
    <w:charset w:val="86"/>
    <w:family w:val="script"/>
    <w:pitch w:val="default"/>
    <w:sig w:usb0="00000001" w:usb1="080E0000" w:usb2="00000000" w:usb3="00000000" w:csb0="00040000" w:csb1="00000000"/>
  </w:font>
  <w:font w:name="仿宋_GB2312">
    <w:panose1 w:val="02010609030101010101"/>
    <w:charset w:val="86"/>
    <w:family w:val="modern"/>
    <w:pitch w:val="default"/>
    <w:sig w:usb0="00000001" w:usb1="080E0000" w:usb2="00000000" w:usb3="00000000" w:csb0="00040000" w:csb1="00000000"/>
  </w:font>
  <w:font w:name="仿宋">
    <w:panose1 w:val="02010609060101010101"/>
    <w:charset w:val="86"/>
    <w:family w:val="modern"/>
    <w:pitch w:val="default"/>
    <w:sig w:usb0="800002BF" w:usb1="38CF7CFA" w:usb2="00000016" w:usb3="00000000" w:csb0="00040001"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5="http://schemas.microsoft.com/office/word/2012/wordml" xmlns:w10="urn:schemas-microsoft-com:office:word"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footnote w:type="separator" w:id="0">
    <w:p>
      <w:pPr>
        <w:spacing w:before="0" w:after="0"/>
      </w:pPr>
      <w:r>
        <w:separator/>
      </w:r>
    </w:p>
  </w:footnote>
  <w:footnote w:type="continuationSeparator" w:id="1">
    <w:p>
      <w:pPr>
        <w:spacing w:before="0" w:after="0"/>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3"/>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footnotePr>
    <w:footnote w:id="0"/>
    <w:footnote w:id="1"/>
  </w:footnotePr>
  <w:compat>
    <w:spaceForUL/>
    <w:balanceSingleByteDoubleByteWidth/>
    <w:doNotLeaveBackslashAlone/>
    <w:ulTrailSpace/>
    <w:doNotExpandShiftReturn/>
    <w:adjustLineHeightInTable/>
    <w:useFELayout/>
    <w:compatSetting w:name="compatibilityMode" w:uri="http://schemas.microsoft.com/office/word" w:val="12"/>
  </w:compat>
  <w:docVars>
    <w:docVar w:name="commondata" w:val="eyJoZGlkIjoiNDA4ZTljODJkMDAzZDFjYTgyMWUyMTZmODhiNDJiZmIifQ=="/>
  </w:docVars>
  <w:rsids>
    <w:rsidRoot w:val="00555D3C"/>
    <w:rsid w:val="00034124"/>
    <w:rsid w:val="00044A31"/>
    <w:rsid w:val="00117E66"/>
    <w:rsid w:val="001C0287"/>
    <w:rsid w:val="0023477D"/>
    <w:rsid w:val="00253149"/>
    <w:rsid w:val="0026493C"/>
    <w:rsid w:val="0031729D"/>
    <w:rsid w:val="003473B3"/>
    <w:rsid w:val="00347A9E"/>
    <w:rsid w:val="003941A6"/>
    <w:rsid w:val="0050763F"/>
    <w:rsid w:val="00542E0B"/>
    <w:rsid w:val="00555D3C"/>
    <w:rsid w:val="005631EF"/>
    <w:rsid w:val="005A5F99"/>
    <w:rsid w:val="00612104"/>
    <w:rsid w:val="006710B6"/>
    <w:rsid w:val="006E17F6"/>
    <w:rsid w:val="007F1429"/>
    <w:rsid w:val="0080724E"/>
    <w:rsid w:val="00832A05"/>
    <w:rsid w:val="0092065D"/>
    <w:rsid w:val="009333D2"/>
    <w:rsid w:val="009C6D1D"/>
    <w:rsid w:val="009E5098"/>
    <w:rsid w:val="00A01FC7"/>
    <w:rsid w:val="00A83832"/>
    <w:rsid w:val="00A9350E"/>
    <w:rsid w:val="00B54A33"/>
    <w:rsid w:val="00BA2CD5"/>
    <w:rsid w:val="00BB50DA"/>
    <w:rsid w:val="00C90C2F"/>
    <w:rsid w:val="00CD7737"/>
    <w:rsid w:val="00CF700D"/>
    <w:rsid w:val="00E7045D"/>
    <w:rsid w:val="00F0274E"/>
    <w:rsid w:val="00F76886"/>
    <w:rsid w:val="00F922DB"/>
    <w:rsid w:val="00FA2C1D"/>
    <w:rsid w:val="00FE6036"/>
    <w:rsid w:val="07457497"/>
    <w:rsid w:val="10800C58"/>
    <w:rsid w:val="109E5C55"/>
    <w:rsid w:val="131C72EE"/>
    <w:rsid w:val="16693009"/>
    <w:rsid w:val="1E93421B"/>
    <w:rsid w:val="20A1147F"/>
    <w:rsid w:val="26D7692F"/>
    <w:rsid w:val="27123E5E"/>
    <w:rsid w:val="2C407BE9"/>
    <w:rsid w:val="2DEA7B71"/>
    <w:rsid w:val="2E396E8B"/>
    <w:rsid w:val="30272FF4"/>
    <w:rsid w:val="30C26B64"/>
    <w:rsid w:val="3985311F"/>
    <w:rsid w:val="3B7D5167"/>
    <w:rsid w:val="46E9385C"/>
    <w:rsid w:val="4879099F"/>
    <w:rsid w:val="49434F2A"/>
    <w:rsid w:val="4C5656E0"/>
    <w:rsid w:val="4F792EAD"/>
    <w:rsid w:val="5199747D"/>
    <w:rsid w:val="552319D3"/>
    <w:rsid w:val="55A0380E"/>
    <w:rsid w:val="5F6F29C7"/>
    <w:rsid w:val="639B636B"/>
    <w:rsid w:val="65980B8A"/>
    <w:rsid w:val="6980394B"/>
    <w:rsid w:val="71E026F6"/>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rules v:ext="edit">
        <o:r id="V:Rule1" type="connector" idref="#_x0000_s2050"/>
      </o:rules>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name="header"/>
    <w:lsdException w:qFormat="1" w:uiPriority="99"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adjustRightInd w:val="0"/>
      <w:snapToGrid w:val="0"/>
      <w:spacing w:after="200"/>
    </w:pPr>
    <w:rPr>
      <w:rFonts w:ascii="Tahoma" w:hAnsi="Tahoma" w:eastAsia="微软雅黑" w:cstheme="minorBidi"/>
      <w:sz w:val="22"/>
      <w:szCs w:val="22"/>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CellMar>
        <w:top w:w="0" w:type="dxa"/>
        <w:left w:w="108" w:type="dxa"/>
        <w:bottom w:w="0" w:type="dxa"/>
        <w:right w:w="108" w:type="dxa"/>
      </w:tblCellMar>
    </w:tblPr>
  </w:style>
  <w:style w:type="paragraph" w:styleId="2">
    <w:name w:val="footer"/>
    <w:basedOn w:val="1"/>
    <w:link w:val="7"/>
    <w:semiHidden/>
    <w:unhideWhenUsed/>
    <w:qFormat/>
    <w:uiPriority w:val="99"/>
    <w:pPr>
      <w:widowControl w:val="0"/>
      <w:tabs>
        <w:tab w:val="center" w:pos="4153"/>
        <w:tab w:val="right" w:pos="8306"/>
      </w:tabs>
      <w:adjustRightInd/>
      <w:spacing w:after="0"/>
    </w:pPr>
    <w:rPr>
      <w:rFonts w:asciiTheme="minorHAnsi" w:hAnsiTheme="minorHAnsi" w:eastAsiaTheme="minorEastAsia"/>
      <w:kern w:val="2"/>
      <w:sz w:val="18"/>
      <w:szCs w:val="18"/>
    </w:rPr>
  </w:style>
  <w:style w:type="paragraph" w:styleId="3">
    <w:name w:val="header"/>
    <w:basedOn w:val="1"/>
    <w:link w:val="6"/>
    <w:semiHidden/>
    <w:unhideWhenUsed/>
    <w:qFormat/>
    <w:uiPriority w:val="99"/>
    <w:pPr>
      <w:widowControl w:val="0"/>
      <w:pBdr>
        <w:bottom w:val="single" w:color="auto" w:sz="6" w:space="1"/>
      </w:pBdr>
      <w:tabs>
        <w:tab w:val="center" w:pos="4153"/>
        <w:tab w:val="right" w:pos="8306"/>
      </w:tabs>
      <w:adjustRightInd/>
      <w:spacing w:after="0"/>
      <w:jc w:val="center"/>
    </w:pPr>
    <w:rPr>
      <w:rFonts w:asciiTheme="minorHAnsi" w:hAnsiTheme="minorHAnsi" w:eastAsiaTheme="minorEastAsia"/>
      <w:kern w:val="2"/>
      <w:sz w:val="18"/>
      <w:szCs w:val="18"/>
    </w:rPr>
  </w:style>
  <w:style w:type="character" w:customStyle="1" w:styleId="6">
    <w:name w:val="页眉 Char"/>
    <w:basedOn w:val="5"/>
    <w:link w:val="3"/>
    <w:semiHidden/>
    <w:qFormat/>
    <w:uiPriority w:val="99"/>
    <w:rPr>
      <w:sz w:val="18"/>
      <w:szCs w:val="18"/>
    </w:rPr>
  </w:style>
  <w:style w:type="character" w:customStyle="1" w:styleId="7">
    <w:name w:val="页脚 Char"/>
    <w:basedOn w:val="5"/>
    <w:link w:val="2"/>
    <w:semiHidden/>
    <w:qFormat/>
    <w:uiPriority w:val="99"/>
    <w:rPr>
      <w:sz w:val="18"/>
      <w:szCs w:val="18"/>
    </w:rPr>
  </w:style>
  <w:style w:type="paragraph" w:styleId="8">
    <w:name w:val="List Paragraph"/>
    <w:basedOn w:val="1"/>
    <w:qFormat/>
    <w:uiPriority w:val="34"/>
    <w:pPr>
      <w:ind w:firstLine="420" w:firstLineChars="200"/>
    </w:p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notes" Target="footnotes.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2050"/>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Company>CHINABENXI</Company>
  <Pages>3</Pages>
  <Words>1057</Words>
  <Characters>1098</Characters>
  <Lines>8</Lines>
  <Paragraphs>2</Paragraphs>
  <TotalTime>0</TotalTime>
  <ScaleCrop>false</ScaleCrop>
  <LinksUpToDate>false</LinksUpToDate>
  <CharactersWithSpaces>1118</CharactersWithSpaces>
  <Application>WPS Office_12.1.0.18608_F1E327BC-269C-435d-A152-05C5408002CA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2024-01-29T04:24:00Z</dcterms:created>
  <dc:creator>SAMSUNG</dc:creator>
  <cp:lastModifiedBy>admin</cp:lastModifiedBy>
  <cp:lastPrinted>2024-04-10T11:41:00Z</cp:lastPrinted>
  <dcterms:modified xsi:type="dcterms:W3CDTF">2024-10-22T06:42:03Z</dcterms:modified>
  <cp:revision>12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2052-12.1.0.18608</vt:lpwstr>
  </property>
  <property fmtid="{D5CDD505-2E9C-101B-9397-08002B2CF9AE}" pid="3" name="ICV">
    <vt:lpwstr>5B1C4378E6D842658688545A3E314C3D_12</vt:lpwstr>
  </property>
</Properties>
</file>