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F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关于提高城乡居民最低生活保障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特困人员</w:t>
      </w:r>
    </w:p>
    <w:p w14:paraId="2C0A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救助供养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基本生活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孤儿基本生活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保障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和</w:t>
      </w:r>
    </w:p>
    <w:p w14:paraId="4691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60年代精简退职职工生活补助标准的</w:t>
      </w:r>
    </w:p>
    <w:p w14:paraId="04CE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通知</w:t>
      </w:r>
    </w:p>
    <w:p w14:paraId="0257C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 w14:paraId="0B63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（征求意见稿）</w:t>
      </w:r>
    </w:p>
    <w:p w14:paraId="0EBF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624F9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为保障城乡困难群众基本生活，确保城乡困难群众基本生活水平与经济社会发展水平同步提升，根据《关于进一步做好全省最低生活保障标准确定调整工作的通知》（辽民发〔2024〕18号）精神，现就提高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城乡居民最低生活保障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特困人员救助供养基本生活、孤儿基本生活保障和60年代精简退职职工生活补助标准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有关事宜通知如下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F9D2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both"/>
        <w:textAlignment w:val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一、提高标准</w:t>
      </w:r>
    </w:p>
    <w:p w14:paraId="0882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城乡居民最低生活保障标准。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居民最低生活保障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元提高到每人每月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居民最低生活保障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592元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每人每年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7104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提高到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635元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每人每年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7620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。</w:t>
      </w:r>
    </w:p>
    <w:p w14:paraId="63DFF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低保边缘家庭界定标准按照低保标准的1.5倍同步调整，其中调整后的城市低保边缘家庭界定标准为每人每月1142元，农村低保边缘家庭界定标准为每人每月953元（每人每年11436元）。</w:t>
      </w:r>
    </w:p>
    <w:p w14:paraId="298DE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 w:color="auto"/>
          <w:lang w:eastAsia="zh-CN"/>
        </w:rPr>
        <w:t>（二）特困人员救助供养基本生活标准。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城市特困人员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 w:color="auto"/>
          <w:lang w:eastAsia="zh-CN"/>
        </w:rPr>
        <w:t>救助供养基本生活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每人每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1127元提高到1147元，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 w:color="auto"/>
          <w:lang w:eastAsia="zh-CN"/>
        </w:rPr>
        <w:t>救助供养基本生活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由每人每月1003元提高到1059元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。</w:t>
      </w:r>
    </w:p>
    <w:p w14:paraId="0AF0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 w:color="auto"/>
          <w:lang w:eastAsia="zh-CN"/>
        </w:rPr>
        <w:t>（三）孤儿（含事实无人抚养儿童，下同）基本生活保障标准。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集中供养孤儿基本生活保障标准由每人每月2461元提高到2585元，散居孤儿基本生活保障标准由每人每月2314元提高到2476元。就学未就业的成年孤儿，在基本生活保障标准基础上再增加的保障金仍按每人每月460元执行。</w:t>
      </w:r>
    </w:p>
    <w:p w14:paraId="5F159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60年代精简退职职工生活补助标准。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highlight w:val="none"/>
          <w:u w:val="none"/>
          <w:lang w:val="en-US" w:eastAsia="zh-CN"/>
        </w:rPr>
        <w:t>1945年9月2日以前参加革命工作且原享受本人标准工资100%生活费、1945年9月3日至1949年9月30日期间参加革命工作且原享受本人工资70%生活费、1949年10月1日至1957年底以前参加革命工作且原享受本人工资40%救济、1949年10月1日至1957年底以前参加革命工作且原享受社会困难补助费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highlight w:val="none"/>
          <w:u w:val="none"/>
        </w:rPr>
        <w:t>60年代精简退职职工生活补助标准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highlight w:val="none"/>
          <w:u w:val="none"/>
        </w:rPr>
        <w:t>分别由每人每月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highlight w:val="none"/>
          <w:lang w:val="en-US" w:eastAsia="zh-CN"/>
        </w:rPr>
        <w:t>756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元、708元、655元、605元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highlight w:val="none"/>
          <w:u w:val="none"/>
        </w:rPr>
        <w:t>提高到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highlight w:val="none"/>
          <w:lang w:val="en-US" w:eastAsia="zh-CN"/>
        </w:rPr>
        <w:t>811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元、759元、703元、649元。</w:t>
      </w:r>
    </w:p>
    <w:p w14:paraId="213126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both"/>
        <w:textAlignment w:val="auto"/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eastAsia="zh-CN"/>
        </w:rPr>
        <w:t>执行时间</w:t>
      </w:r>
    </w:p>
    <w:p w14:paraId="54A7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从2025年7月1日起执行。各县区要从2025年7月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起，对新申请最低生活保障、特困人员救助供养、孤儿基本生活保障的对象按照新标准进行审核确认并给予保障；对已经在册的城乡低保、特困人员、孤儿和60年代精简退职职工按照新标准重新核算低保金、供养金、保障金和补助金，并按规定发放到位。</w:t>
      </w:r>
    </w:p>
    <w:p w14:paraId="4528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both"/>
        <w:textAlignment w:val="auto"/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资金筹集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与安排</w:t>
      </w:r>
    </w:p>
    <w:p w14:paraId="3C920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采取调整预算支出结构和增加资金安排等措施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足额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筹集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城乡居民最低生活保障、特困人员救助供养基本生活、孤儿基本生活保障和60年代精简退职职工生活补助资金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。市财政根据各县区财力、保障任务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工作绩效等因素，对城乡困难群众社会救助工作给予资金补助，重点向财力比较弱、保障任务比较重、工作管理比较好的地区倾斜。</w:t>
      </w:r>
    </w:p>
    <w:p w14:paraId="59CC5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both"/>
        <w:textAlignment w:val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、工作要求</w:t>
      </w:r>
    </w:p>
    <w:p w14:paraId="12FC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加强组织领导，密切部门协作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提高城乡居民最低生活保障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特困人员救助供养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基本生活标准是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省、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市全面振兴新突破三年行动方案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确定的重点任务。提高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孤儿基本生活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和60年代精简退职职工生活补助标准是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确保特殊群体与全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群体共享改革开放发展成果的重要举措。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县区政府要高度重视，加强领导，精心组织，周密部署，全力推动落实。各级民政部门要积极会同有关部门制定工作方案，合理测算提标的资金需求。各级财政部门要抓紧筹措落实所需资金，确保资金及时足额发放。</w:t>
      </w:r>
    </w:p>
    <w:p w14:paraId="5D04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加强信息核对，实现精准救助。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面开展社会救助家庭收入和财产状况核对，全力提高审核确认和动态管理的准确性，确保精准救助。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要巩固民生领域脱贫攻坚成果同乡村振兴有效衔接，扎实做好困难群众兜底保障工作，妥善落实过渡期内各项衔接政策。</w:t>
      </w:r>
    </w:p>
    <w:p w14:paraId="129F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加强管理，有序实施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应保尽保的原则，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年6月底前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最低生活保障对象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进行全面调查核实，及时调整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最低生活保障对象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及救助金额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其中家庭人口、收入和财产状况没有明显变化的，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重新核定后的低保金额（不含分类施保金额，下同）低于原低保金额的按原低保金额给予保障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原本煤户、铜锌矿户救助对象按每人每月提高15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计算救助金额。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最低生活保障对象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审核确认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工作，凡符合条件的均要按照新的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计算保障金，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特困人员救助供养范围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内由各级企业、事业单位负责发放生活补助金的60年代精简退职职工均按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标准执行，中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直驻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单位可参照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各级民政、财政部门要加强对提标工作的督导，建立定期报告和通报制度。各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民政部门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按时间节点要求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报告提标工作进展情况。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将对各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落实提标工作进展情况进行通报，并适时报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政府。</w:t>
      </w:r>
    </w:p>
    <w:p w14:paraId="765DC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本溪市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人民政府办公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关于提高城乡居民最低生活保障、特困人员救助供养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、孤儿基本生活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和60年代精简退职职工生活补助标准的通知》（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同时废止。</w:t>
      </w:r>
    </w:p>
    <w:p w14:paraId="6BFB96C2">
      <w:pPr>
        <w:jc w:val="both"/>
        <w:rPr>
          <w:rFonts w:hint="eastAsia"/>
          <w:color w:val="auto"/>
          <w:highlight w:val="none"/>
        </w:rPr>
      </w:pPr>
    </w:p>
    <w:p w14:paraId="471A3BEB">
      <w:pPr>
        <w:jc w:val="both"/>
        <w:rPr>
          <w:highlight w:val="none"/>
        </w:rPr>
      </w:pPr>
    </w:p>
    <w:p w14:paraId="6D93E8C6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AE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648A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40" w:right="34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648A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40" w:right="34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F526"/>
    <w:multiLevelType w:val="singleLevel"/>
    <w:tmpl w:val="DBDEF5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376F"/>
    <w:rsid w:val="0FB202B9"/>
    <w:rsid w:val="0FFF8E0C"/>
    <w:rsid w:val="177BAE17"/>
    <w:rsid w:val="1B6A078A"/>
    <w:rsid w:val="1BD75577"/>
    <w:rsid w:val="1BFE09C7"/>
    <w:rsid w:val="1DFFA8CB"/>
    <w:rsid w:val="1FFFEAAD"/>
    <w:rsid w:val="285BD83B"/>
    <w:rsid w:val="33DC7F8E"/>
    <w:rsid w:val="34BF7B70"/>
    <w:rsid w:val="366F9CFD"/>
    <w:rsid w:val="37EB1C59"/>
    <w:rsid w:val="3AFDE4CF"/>
    <w:rsid w:val="3C5F0C69"/>
    <w:rsid w:val="3DF791DB"/>
    <w:rsid w:val="3E9F672A"/>
    <w:rsid w:val="3EAB0813"/>
    <w:rsid w:val="3F3C1532"/>
    <w:rsid w:val="3F7FE59C"/>
    <w:rsid w:val="3F87D601"/>
    <w:rsid w:val="3FAB3126"/>
    <w:rsid w:val="3FF5F7B3"/>
    <w:rsid w:val="3FFF2277"/>
    <w:rsid w:val="3FFF7C41"/>
    <w:rsid w:val="467F4F1C"/>
    <w:rsid w:val="49FE3BA5"/>
    <w:rsid w:val="4BB775F4"/>
    <w:rsid w:val="4F7F60F6"/>
    <w:rsid w:val="4FC2CEA4"/>
    <w:rsid w:val="52AC7E89"/>
    <w:rsid w:val="537C20E0"/>
    <w:rsid w:val="53AD2C67"/>
    <w:rsid w:val="57F7CFFE"/>
    <w:rsid w:val="57FD7DEF"/>
    <w:rsid w:val="59F5A582"/>
    <w:rsid w:val="5BDF04AA"/>
    <w:rsid w:val="5BFFE1BC"/>
    <w:rsid w:val="5DB7F959"/>
    <w:rsid w:val="5DFFC0E4"/>
    <w:rsid w:val="5EFAE3F9"/>
    <w:rsid w:val="5F1D99B0"/>
    <w:rsid w:val="5F7E5812"/>
    <w:rsid w:val="5FA0FFA0"/>
    <w:rsid w:val="5FBB76A2"/>
    <w:rsid w:val="66C72101"/>
    <w:rsid w:val="676D908C"/>
    <w:rsid w:val="67F748A4"/>
    <w:rsid w:val="69DE7A2B"/>
    <w:rsid w:val="6A5EE7A1"/>
    <w:rsid w:val="6AFF9646"/>
    <w:rsid w:val="6CE36201"/>
    <w:rsid w:val="6EB7A0D0"/>
    <w:rsid w:val="6FDD0018"/>
    <w:rsid w:val="6FFF9D58"/>
    <w:rsid w:val="6FFFB621"/>
    <w:rsid w:val="73FF6245"/>
    <w:rsid w:val="74A719EF"/>
    <w:rsid w:val="74FF8A09"/>
    <w:rsid w:val="77DD5627"/>
    <w:rsid w:val="77E9A2CF"/>
    <w:rsid w:val="77F7F128"/>
    <w:rsid w:val="77F888F5"/>
    <w:rsid w:val="77FB74F5"/>
    <w:rsid w:val="79AF928F"/>
    <w:rsid w:val="7A7E926D"/>
    <w:rsid w:val="7BA72A24"/>
    <w:rsid w:val="7C7B238D"/>
    <w:rsid w:val="7D6F46E4"/>
    <w:rsid w:val="7DBF90D2"/>
    <w:rsid w:val="7DF729E1"/>
    <w:rsid w:val="7E7F12CF"/>
    <w:rsid w:val="7EBFD8CC"/>
    <w:rsid w:val="7EEF8C3B"/>
    <w:rsid w:val="7F59196F"/>
    <w:rsid w:val="7F6E0177"/>
    <w:rsid w:val="7F6E96CC"/>
    <w:rsid w:val="7F7DFD74"/>
    <w:rsid w:val="7F7E08B7"/>
    <w:rsid w:val="7F9DAAEA"/>
    <w:rsid w:val="7FAFE953"/>
    <w:rsid w:val="7FC6EA03"/>
    <w:rsid w:val="7FD79751"/>
    <w:rsid w:val="7FE7DCE9"/>
    <w:rsid w:val="7FEFA47A"/>
    <w:rsid w:val="7FFB93D4"/>
    <w:rsid w:val="97F76E2D"/>
    <w:rsid w:val="9BBBB4FA"/>
    <w:rsid w:val="AEBF1361"/>
    <w:rsid w:val="AFBE5A5E"/>
    <w:rsid w:val="AFF720DD"/>
    <w:rsid w:val="B5EE2A84"/>
    <w:rsid w:val="B74B1852"/>
    <w:rsid w:val="BBEB535C"/>
    <w:rsid w:val="BCEF86E7"/>
    <w:rsid w:val="BD5BC07E"/>
    <w:rsid w:val="BFBFF046"/>
    <w:rsid w:val="BFF72F8D"/>
    <w:rsid w:val="BFFFD7BD"/>
    <w:rsid w:val="C956EFFA"/>
    <w:rsid w:val="CF57340C"/>
    <w:rsid w:val="CF6B0D74"/>
    <w:rsid w:val="D3BC82D6"/>
    <w:rsid w:val="D3FF2E05"/>
    <w:rsid w:val="D5FBDDA4"/>
    <w:rsid w:val="D77ED8C0"/>
    <w:rsid w:val="D9FF8AF2"/>
    <w:rsid w:val="DCB7C908"/>
    <w:rsid w:val="DDF7D291"/>
    <w:rsid w:val="DFDA8545"/>
    <w:rsid w:val="DFFA0421"/>
    <w:rsid w:val="E775DDB5"/>
    <w:rsid w:val="E7DF3FCF"/>
    <w:rsid w:val="E95FCEF5"/>
    <w:rsid w:val="E9FFAAFB"/>
    <w:rsid w:val="EB7F69AF"/>
    <w:rsid w:val="EB9FFB25"/>
    <w:rsid w:val="EBF36F11"/>
    <w:rsid w:val="EBFFA3CB"/>
    <w:rsid w:val="EDF781B3"/>
    <w:rsid w:val="EEFA8DF9"/>
    <w:rsid w:val="EFD72B2F"/>
    <w:rsid w:val="EFDD75B3"/>
    <w:rsid w:val="F25BEA7F"/>
    <w:rsid w:val="F26F7F26"/>
    <w:rsid w:val="F39848A5"/>
    <w:rsid w:val="F5272CC9"/>
    <w:rsid w:val="F62FD8E7"/>
    <w:rsid w:val="F6BA7BF6"/>
    <w:rsid w:val="F6F9DF07"/>
    <w:rsid w:val="F96F9309"/>
    <w:rsid w:val="F9FA6321"/>
    <w:rsid w:val="FA5621F8"/>
    <w:rsid w:val="FB6FC08F"/>
    <w:rsid w:val="FBDCF280"/>
    <w:rsid w:val="FBF5E159"/>
    <w:rsid w:val="FBF7B7C8"/>
    <w:rsid w:val="FCBB8AF8"/>
    <w:rsid w:val="FDE15747"/>
    <w:rsid w:val="FE7547D0"/>
    <w:rsid w:val="FEB7633A"/>
    <w:rsid w:val="FEFB3A31"/>
    <w:rsid w:val="FF793E3B"/>
    <w:rsid w:val="FF7D032B"/>
    <w:rsid w:val="FF7F1E99"/>
    <w:rsid w:val="FF7FACBA"/>
    <w:rsid w:val="FF9F450D"/>
    <w:rsid w:val="FFBBD467"/>
    <w:rsid w:val="FFC7E437"/>
    <w:rsid w:val="FFCB3D4A"/>
    <w:rsid w:val="FFFDF7D0"/>
    <w:rsid w:val="FFFE7F0A"/>
    <w:rsid w:val="FFFF5731"/>
    <w:rsid w:val="FFFF7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1916</Words>
  <Characters>2040</Characters>
  <Lines>0</Lines>
  <Paragraphs>0</Paragraphs>
  <TotalTime>48</TotalTime>
  <ScaleCrop>false</ScaleCrop>
  <LinksUpToDate>false</LinksUpToDate>
  <CharactersWithSpaces>2042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2014-11-13T20:08:00Z</dcterms:created>
  <dc:creator>Administrator</dc:creator>
  <cp:lastModifiedBy>陈萃彦</cp:lastModifiedBy>
  <cp:lastPrinted>2025-04-24T22:11:02Z</cp:lastPrinted>
  <dcterms:modified xsi:type="dcterms:W3CDTF">2025-05-29T05:09:59Z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eyJoZGlkIjoiZWE3NjAwMDU4OWM5MmM4MzNiMzY3NGZiZjRmMWVhMDMifQ==</vt:lpwstr>
  </property>
  <property fmtid="{D5CDD505-2E9C-101B-9397-08002B2CF9AE}" pid="4" name="ICV">
    <vt:lpwstr>BE2D0A0CA75D4B81B276C2DE79AEAF0A_13</vt:lpwstr>
  </property>
</Properties>
</file>