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E3FB7">
      <w:pPr>
        <w:spacing w:before="169" w:line="220" w:lineRule="auto"/>
        <w:jc w:val="center"/>
        <w:rPr>
          <w:rFonts w:hint="default" w:ascii="Times New Roman" w:hAnsi="Times New Roman" w:eastAsia="宋体" w:cs="Times New Roman"/>
          <w:color w:val="auto"/>
          <w:spacing w:val="51"/>
          <w:sz w:val="52"/>
          <w:szCs w:val="52"/>
          <w:lang w:val="en-US" w:eastAsia="zh-CN"/>
          <w14:textOutline w14:w="9461" w14:cap="sq" w14:cmpd="sng">
            <w14:solidFill>
              <w14:srgbClr w14:val="1C4D97"/>
            </w14:solidFill>
            <w14:prstDash w14:val="solid"/>
            <w14:bevel/>
          </w14:textOutline>
        </w:rPr>
      </w:pPr>
      <w:bookmarkStart w:id="139" w:name="_GoBack"/>
      <w:bookmarkEnd w:id="139"/>
    </w:p>
    <w:p w14:paraId="5BEE675E">
      <w:pPr>
        <w:spacing w:before="169" w:line="220" w:lineRule="auto"/>
        <w:jc w:val="center"/>
        <w:rPr>
          <w:rFonts w:hint="default" w:ascii="Times New Roman" w:hAnsi="Times New Roman" w:eastAsia="宋体" w:cs="Times New Roman"/>
          <w:color w:val="auto"/>
          <w:spacing w:val="51"/>
          <w:sz w:val="52"/>
          <w:szCs w:val="52"/>
          <w:lang w:val="en-US" w:eastAsia="zh-CN"/>
          <w14:textOutline w14:w="9461" w14:cap="sq" w14:cmpd="sng">
            <w14:solidFill>
              <w14:srgbClr w14:val="1C4D97"/>
            </w14:solidFill>
            <w14:prstDash w14:val="solid"/>
            <w14:bevel/>
          </w14:textOutline>
        </w:rPr>
      </w:pPr>
    </w:p>
    <w:p w14:paraId="4DE45B9F">
      <w:pPr>
        <w:spacing w:before="169" w:line="220" w:lineRule="auto"/>
        <w:jc w:val="center"/>
        <w:outlineLvl w:val="9"/>
        <w:rPr>
          <w:rFonts w:hint="eastAsia" w:ascii="宋体" w:hAnsi="宋体" w:eastAsia="宋体" w:cs="宋体"/>
          <w:color w:val="auto"/>
          <w:sz w:val="52"/>
          <w:szCs w:val="52"/>
          <w14:textOutline w14:w="9525">
            <w14:solidFill>
              <w14:schemeClr w14:val="tx1"/>
            </w14:solidFill>
            <w14:round/>
          </w14:textOutline>
        </w:rPr>
      </w:pPr>
      <w:r>
        <w:rPr>
          <w:rFonts w:hint="eastAsia" w:ascii="宋体" w:hAnsi="宋体" w:eastAsia="宋体" w:cs="宋体"/>
          <w:color w:val="auto"/>
          <w:spacing w:val="51"/>
          <w:sz w:val="52"/>
          <w:szCs w:val="52"/>
          <w:highlight w:val="none"/>
          <w:lang w:val="en-US" w:eastAsia="zh-CN"/>
          <w14:textOutline w14:w="9525">
            <w14:solidFill>
              <w14:schemeClr w14:val="tx1"/>
            </w14:solidFill>
            <w14:round/>
          </w14:textOutline>
        </w:rPr>
        <w:t>本溪市建筑</w:t>
      </w:r>
      <w:r>
        <w:rPr>
          <w:rFonts w:hint="eastAsia" w:ascii="宋体" w:hAnsi="宋体" w:eastAsia="宋体" w:cs="宋体"/>
          <w:color w:val="auto"/>
          <w:spacing w:val="51"/>
          <w:sz w:val="52"/>
          <w:szCs w:val="52"/>
          <w:lang w:val="en-US" w:eastAsia="zh-CN"/>
          <w14:textOutline w14:w="9525">
            <w14:solidFill>
              <w14:schemeClr w14:val="tx1"/>
            </w14:solidFill>
            <w14:round/>
          </w14:textOutline>
        </w:rPr>
        <w:t>垃圾污染环境防治工作规划</w:t>
      </w:r>
    </w:p>
    <w:p w14:paraId="4B8D6FC3">
      <w:pPr>
        <w:spacing w:before="202" w:line="224" w:lineRule="auto"/>
        <w:jc w:val="center"/>
        <w:outlineLvl w:val="9"/>
        <w:rPr>
          <w:rFonts w:hint="eastAsia" w:cs="Times New Roman"/>
          <w:color w:val="auto"/>
          <w:spacing w:val="9"/>
          <w:sz w:val="43"/>
          <w:szCs w:val="43"/>
          <w:lang w:eastAsia="zh-CN"/>
          <w14:textOutline w14:w="9525">
            <w14:solidFill>
              <w14:schemeClr w14:val="tx1"/>
            </w14:solidFill>
            <w14:round/>
          </w14:textOutline>
        </w:rPr>
      </w:pPr>
      <w:r>
        <w:rPr>
          <w:rFonts w:hint="eastAsia" w:ascii="宋体" w:hAnsi="宋体" w:eastAsia="宋体" w:cs="宋体"/>
          <w:color w:val="auto"/>
          <w:spacing w:val="11"/>
          <w:sz w:val="43"/>
          <w:szCs w:val="43"/>
          <w:lang w:eastAsia="zh-CN"/>
          <w14:textOutline w14:w="9525">
            <w14:solidFill>
              <w14:schemeClr w14:val="tx1"/>
            </w14:solidFill>
            <w14:round/>
          </w14:textOutline>
        </w:rPr>
        <w:t>（</w:t>
      </w:r>
      <w:r>
        <w:rPr>
          <w:rFonts w:hint="eastAsia" w:ascii="宋体" w:hAnsi="宋体" w:eastAsia="宋体" w:cs="宋体"/>
          <w:color w:val="auto"/>
          <w:spacing w:val="9"/>
          <w:sz w:val="43"/>
          <w:szCs w:val="43"/>
          <w:lang w:val="en-US" w:eastAsia="zh-CN"/>
          <w14:textOutline w14:w="9525">
            <w14:solidFill>
              <w14:schemeClr w14:val="tx1"/>
            </w14:solidFill>
            <w14:round/>
          </w14:textOutline>
        </w:rPr>
        <w:t>2024—2035年</w:t>
      </w:r>
      <w:r>
        <w:rPr>
          <w:rFonts w:hint="eastAsia" w:ascii="宋体" w:hAnsi="宋体" w:eastAsia="宋体" w:cs="宋体"/>
          <w:color w:val="auto"/>
          <w:spacing w:val="9"/>
          <w:sz w:val="43"/>
          <w:szCs w:val="43"/>
          <w:lang w:eastAsia="zh-CN"/>
          <w14:textOutline w14:w="9525">
            <w14:solidFill>
              <w14:schemeClr w14:val="tx1"/>
            </w14:solidFill>
            <w14:round/>
          </w14:textOutline>
        </w:rPr>
        <w:t>）</w:t>
      </w:r>
    </w:p>
    <w:p w14:paraId="7B2CD018">
      <w:pPr>
        <w:bidi w:val="0"/>
        <w:jc w:val="center"/>
        <w:rPr>
          <w:rFonts w:hint="default"/>
          <w:color w:val="auto"/>
          <w14:textOutline w14:w="9525">
            <w14:solidFill>
              <w14:schemeClr w14:val="tx1"/>
            </w14:solidFill>
            <w14:round/>
          </w14:textOutline>
        </w:rPr>
      </w:pPr>
    </w:p>
    <w:p w14:paraId="50DE42C6">
      <w:pPr>
        <w:spacing w:before="102" w:line="224" w:lineRule="auto"/>
        <w:jc w:val="center"/>
        <w:outlineLvl w:val="9"/>
        <w:rPr>
          <w:rFonts w:hint="default" w:ascii="Times New Roman" w:hAnsi="Times New Roman" w:eastAsia="宋体" w:cs="Times New Roman"/>
          <w:color w:val="auto"/>
          <w:sz w:val="43"/>
          <w:szCs w:val="43"/>
          <w14:textOutline w14:w="9525">
            <w14:solidFill>
              <w14:schemeClr w14:val="tx1"/>
            </w14:solidFill>
            <w14:round/>
          </w14:textOutline>
        </w:rPr>
      </w:pPr>
    </w:p>
    <w:p w14:paraId="63789610">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15296C37">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763C2294">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7155766A">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60F9D7A8">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59CEBF46">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3E1AE028">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5D0AC6EA">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0DDCF4B6">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75244690">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392CCD3A">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74490E36">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2C5DEE0E">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2754D476">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50676F3E">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4AC11FC2">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58D3AEAA">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572E273E">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15350046">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4CEEA661">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07DD07CC">
      <w:pPr>
        <w:spacing w:line="242" w:lineRule="auto"/>
        <w:ind w:left="0" w:leftChars="0" w:firstLine="0" w:firstLineChars="0"/>
        <w:outlineLvl w:val="9"/>
        <w:rPr>
          <w:rFonts w:hint="default" w:ascii="Times New Roman" w:hAnsi="Times New Roman" w:cs="Times New Roman"/>
          <w:color w:val="auto"/>
          <w:sz w:val="21"/>
          <w14:textOutline w14:w="9525">
            <w14:solidFill>
              <w14:schemeClr w14:val="tx1"/>
            </w14:solidFill>
            <w14:round/>
          </w14:textOutline>
        </w:rPr>
      </w:pPr>
    </w:p>
    <w:p w14:paraId="0BBA7D45">
      <w:pPr>
        <w:spacing w:line="242" w:lineRule="auto"/>
        <w:outlineLvl w:val="9"/>
        <w:rPr>
          <w:rFonts w:hint="default" w:ascii="Times New Roman" w:hAnsi="Times New Roman" w:cs="Times New Roman"/>
          <w:color w:val="auto"/>
          <w:sz w:val="21"/>
          <w14:textOutline w14:w="9525">
            <w14:solidFill>
              <w14:schemeClr w14:val="tx1"/>
            </w14:solidFill>
            <w14:round/>
          </w14:textOutline>
        </w:rPr>
      </w:pPr>
    </w:p>
    <w:p w14:paraId="68C70D5A">
      <w:pPr>
        <w:spacing w:line="243" w:lineRule="auto"/>
        <w:ind w:left="0" w:leftChars="0" w:firstLine="0" w:firstLineChars="0"/>
        <w:outlineLvl w:val="9"/>
        <w:rPr>
          <w:rFonts w:hint="default" w:ascii="Times New Roman" w:hAnsi="Times New Roman" w:cs="Times New Roman"/>
          <w:color w:val="auto"/>
          <w:sz w:val="21"/>
          <w14:textOutline w14:w="9525">
            <w14:solidFill>
              <w14:schemeClr w14:val="tx1"/>
            </w14:solidFill>
            <w14:round/>
          </w14:textOutline>
        </w:rPr>
      </w:pPr>
    </w:p>
    <w:p w14:paraId="498B09DC">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9"/>
        <w:rPr>
          <w:rFonts w:hint="eastAsia" w:cs="Times New Roman"/>
          <w:color w:val="auto"/>
          <w:spacing w:val="50"/>
          <w:position w:val="12"/>
          <w:sz w:val="43"/>
          <w:szCs w:val="43"/>
          <w:highlight w:val="none"/>
          <w:lang w:val="en-US" w:eastAsia="zh-CN"/>
          <w14:textOutline w14:w="9525">
            <w14:solidFill>
              <w14:schemeClr w14:val="tx1"/>
            </w14:solidFill>
            <w14:round/>
          </w14:textOutline>
        </w:rPr>
      </w:pPr>
      <w:r>
        <w:rPr>
          <w:rFonts w:hint="eastAsia" w:cs="Times New Roman"/>
          <w:color w:val="auto"/>
          <w:spacing w:val="50"/>
          <w:position w:val="12"/>
          <w:sz w:val="43"/>
          <w:szCs w:val="43"/>
          <w:highlight w:val="none"/>
          <w:lang w:val="en-US" w:eastAsia="zh-CN"/>
          <w14:textOutline w14:w="9525">
            <w14:solidFill>
              <w14:schemeClr w14:val="tx1"/>
            </w14:solidFill>
            <w14:round/>
          </w14:textOutline>
        </w:rPr>
        <w:t>本溪市住房和城乡建设局</w:t>
      </w:r>
    </w:p>
    <w:p w14:paraId="54C5FCB8">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9"/>
        <w:rPr>
          <w:rFonts w:hint="default" w:ascii="Times New Roman" w:hAnsi="Times New Roman" w:eastAsia="宋体" w:cs="Times New Roman"/>
          <w:color w:val="auto"/>
          <w:spacing w:val="46"/>
          <w:position w:val="12"/>
          <w:sz w:val="43"/>
          <w:szCs w:val="43"/>
          <w:lang w:val="en-US" w:eastAsia="zh-CN"/>
          <w14:textOutline w14:w="9525">
            <w14:solidFill>
              <w14:schemeClr w14:val="tx1"/>
            </w14:solidFill>
            <w14:round/>
          </w14:textOutline>
        </w:rPr>
      </w:pPr>
      <w:r>
        <w:rPr>
          <w:rFonts w:hint="eastAsia" w:cs="Times New Roman"/>
          <w:color w:val="auto"/>
          <w:spacing w:val="46"/>
          <w:position w:val="12"/>
          <w:sz w:val="43"/>
          <w:szCs w:val="43"/>
          <w:lang w:val="en-US" w:eastAsia="zh-CN"/>
          <w14:textOutline w14:w="9525">
            <w14:solidFill>
              <w14:schemeClr w14:val="tx1"/>
            </w14:solidFill>
            <w14:round/>
          </w14:textOutline>
        </w:rPr>
        <w:t>辽宁省市政工程设计研究院有限责任公司</w:t>
      </w:r>
    </w:p>
    <w:p w14:paraId="645089CF">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9"/>
        <w:rPr>
          <w:rFonts w:hint="default" w:ascii="Times New Roman" w:hAnsi="Times New Roman" w:eastAsia="宋体" w:cs="Times New Roman"/>
          <w:color w:val="auto"/>
          <w:spacing w:val="43"/>
          <w:sz w:val="43"/>
          <w:szCs w:val="43"/>
          <w:highlight w:val="none"/>
          <w:lang w:val="en-US" w:eastAsia="zh-CN"/>
          <w14:textOutline w14:w="7972" w14:cap="sq" w14:cmpd="sng">
            <w14:solidFill>
              <w14:srgbClr w14:val="1C4D97"/>
            </w14:solidFill>
            <w14:prstDash w14:val="solid"/>
            <w14:bevel/>
          </w14:textOutline>
        </w:rPr>
        <w:sectPr>
          <w:pgSz w:w="23811" w:h="16838"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cs="Times New Roman"/>
          <w:color w:val="auto"/>
          <w:spacing w:val="45"/>
          <w:sz w:val="43"/>
          <w:szCs w:val="43"/>
          <w:highlight w:val="none"/>
          <w:lang w:eastAsia="zh-CN"/>
          <w14:textOutline w14:w="9525">
            <w14:solidFill>
              <w14:schemeClr w14:val="tx1"/>
            </w14:solidFill>
            <w14:round/>
          </w14:textOutline>
        </w:rPr>
        <w:t>二○</w:t>
      </w:r>
      <w:r>
        <w:rPr>
          <w:rFonts w:hint="default" w:ascii="Times New Roman" w:hAnsi="Times New Roman" w:eastAsia="宋体" w:cs="Times New Roman"/>
          <w:color w:val="auto"/>
          <w:spacing w:val="43"/>
          <w:sz w:val="43"/>
          <w:szCs w:val="43"/>
          <w:highlight w:val="none"/>
          <w14:textOutline w14:w="9525">
            <w14:solidFill>
              <w14:schemeClr w14:val="tx1"/>
            </w14:solidFill>
            <w14:round/>
          </w14:textOutline>
        </w:rPr>
        <w:t>二</w:t>
      </w:r>
      <w:r>
        <w:rPr>
          <w:rFonts w:hint="eastAsia" w:cs="Times New Roman"/>
          <w:color w:val="auto"/>
          <w:spacing w:val="43"/>
          <w:sz w:val="43"/>
          <w:szCs w:val="43"/>
          <w:highlight w:val="none"/>
          <w:lang w:val="en-US" w:eastAsia="zh-CN"/>
          <w14:textOutline w14:w="9525">
            <w14:solidFill>
              <w14:schemeClr w14:val="tx1"/>
            </w14:solidFill>
            <w14:round/>
          </w14:textOutline>
        </w:rPr>
        <w:t>五</w:t>
      </w:r>
      <w:r>
        <w:rPr>
          <w:rFonts w:hint="default" w:ascii="Times New Roman" w:hAnsi="Times New Roman" w:eastAsia="宋体" w:cs="Times New Roman"/>
          <w:color w:val="auto"/>
          <w:spacing w:val="43"/>
          <w:sz w:val="43"/>
          <w:szCs w:val="43"/>
          <w:highlight w:val="none"/>
          <w14:textOutline w14:w="9525">
            <w14:solidFill>
              <w14:schemeClr w14:val="tx1"/>
            </w14:solidFill>
            <w14:round/>
          </w14:textOutline>
        </w:rPr>
        <w:t>年</w:t>
      </w:r>
      <w:r>
        <w:rPr>
          <w:rFonts w:hint="eastAsia" w:cs="Times New Roman"/>
          <w:color w:val="auto"/>
          <w:spacing w:val="43"/>
          <w:sz w:val="43"/>
          <w:szCs w:val="43"/>
          <w:highlight w:val="none"/>
          <w:lang w:val="en-US" w:eastAsia="zh-CN"/>
          <w14:textOutline w14:w="9525">
            <w14:solidFill>
              <w14:schemeClr w14:val="tx1"/>
            </w14:solidFill>
            <w14:round/>
          </w14:textOutline>
        </w:rPr>
        <w:t>七</w:t>
      </w:r>
      <w:r>
        <w:rPr>
          <w:rFonts w:hint="default" w:ascii="Times New Roman" w:hAnsi="Times New Roman" w:eastAsia="宋体" w:cs="Times New Roman"/>
          <w:color w:val="auto"/>
          <w:spacing w:val="43"/>
          <w:sz w:val="43"/>
          <w:szCs w:val="43"/>
          <w:highlight w:val="none"/>
          <w:lang w:val="en-US" w:eastAsia="zh-CN"/>
          <w14:textOutline w14:w="9525">
            <w14:solidFill>
              <w14:schemeClr w14:val="tx1"/>
            </w14:solidFill>
            <w14:round/>
          </w14:textOutline>
        </w:rPr>
        <w:t>月</w:t>
      </w:r>
    </w:p>
    <w:p w14:paraId="50725D4D">
      <w:pPr>
        <w:keepNext w:val="0"/>
        <w:keepLines w:val="0"/>
        <w:pageBreakBefore w:val="0"/>
        <w:widowControl/>
        <w:suppressLineNumbers w:val="0"/>
        <w:kinsoku w:val="0"/>
        <w:wordWrap/>
        <w:overflowPunct/>
        <w:topLinePunct w:val="0"/>
        <w:autoSpaceDE w:val="0"/>
        <w:autoSpaceDN w:val="0"/>
        <w:bidi w:val="0"/>
        <w:adjustRightInd w:val="0"/>
        <w:snapToGrid w:val="0"/>
        <w:ind w:left="310" w:hanging="360" w:hangingChars="100"/>
        <w:jc w:val="left"/>
        <w:textAlignment w:val="baseline"/>
        <w:outlineLvl w:val="9"/>
        <w:rPr>
          <w:rFonts w:hint="default" w:ascii="Times New Roman" w:hAnsi="Times New Roman" w:cs="Times New Roman"/>
          <w:color w:val="auto"/>
          <w:sz w:val="30"/>
          <w:szCs w:val="30"/>
        </w:rPr>
      </w:pPr>
      <w:bookmarkStart w:id="0" w:name="_Toc5458"/>
      <w:r>
        <w:rPr>
          <w:rFonts w:hint="default" w:ascii="Times New Roman" w:hAnsi="Times New Roman" w:eastAsia="微软雅黑" w:cs="Times New Roman"/>
          <w:b/>
          <w:bCs/>
          <w:snapToGrid w:val="0"/>
          <w:color w:val="auto"/>
          <w:kern w:val="0"/>
          <w:sz w:val="36"/>
          <w:szCs w:val="36"/>
          <w:lang w:val="en-US" w:eastAsia="zh-CN" w:bidi="ar"/>
        </w:rPr>
        <w:t>一、</w:t>
      </w:r>
      <w:r>
        <w:rPr>
          <w:rFonts w:hint="eastAsia" w:eastAsia="微软雅黑" w:cs="Times New Roman"/>
          <w:b/>
          <w:bCs/>
          <w:snapToGrid w:val="0"/>
          <w:color w:val="auto"/>
          <w:kern w:val="0"/>
          <w:sz w:val="36"/>
          <w:szCs w:val="36"/>
          <w:lang w:val="en-US" w:eastAsia="zh-CN" w:bidi="ar"/>
        </w:rPr>
        <w:t>本溪市建筑垃圾污染环境防治工作规划</w:t>
      </w:r>
      <w:r>
        <w:rPr>
          <w:rFonts w:hint="default" w:ascii="Times New Roman" w:hAnsi="Times New Roman" w:eastAsia="微软雅黑" w:cs="Times New Roman"/>
          <w:b/>
          <w:bCs/>
          <w:snapToGrid w:val="0"/>
          <w:color w:val="auto"/>
          <w:kern w:val="0"/>
          <w:sz w:val="36"/>
          <w:szCs w:val="36"/>
          <w:lang w:val="en-US" w:eastAsia="zh-CN" w:bidi="ar"/>
        </w:rPr>
        <w:t>编制单位</w:t>
      </w:r>
      <w:bookmarkEnd w:id="0"/>
    </w:p>
    <w:p w14:paraId="69D3B3C1">
      <w:pPr>
        <w:keepNext w:val="0"/>
        <w:keepLines w:val="0"/>
        <w:pageBreakBefore w:val="0"/>
        <w:widowControl/>
        <w:suppressLineNumbers w:val="0"/>
        <w:kinsoku w:val="0"/>
        <w:wordWrap/>
        <w:overflowPunct/>
        <w:topLinePunct w:val="0"/>
        <w:autoSpaceDE w:val="0"/>
        <w:autoSpaceDN w:val="0"/>
        <w:bidi w:val="0"/>
        <w:adjustRightInd w:val="0"/>
        <w:snapToGrid w:val="0"/>
        <w:jc w:val="left"/>
        <w:textAlignment w:val="baseline"/>
        <w:outlineLvl w:val="9"/>
        <w:rPr>
          <w:rFonts w:hint="default" w:ascii="Times New Roman" w:hAnsi="Times New Roman" w:eastAsia="微软雅黑" w:cs="Times New Roman"/>
          <w:b/>
          <w:bCs/>
          <w:snapToGrid w:val="0"/>
          <w:color w:val="auto"/>
          <w:kern w:val="0"/>
          <w:sz w:val="30"/>
          <w:szCs w:val="30"/>
          <w:highlight w:val="none"/>
          <w:lang w:val="en-US" w:eastAsia="zh-CN" w:bidi="ar"/>
        </w:rPr>
      </w:pPr>
      <w:bookmarkStart w:id="1" w:name="_Toc8983"/>
      <w:bookmarkStart w:id="2" w:name="_Toc18190"/>
      <w:r>
        <w:rPr>
          <w:rFonts w:hint="eastAsia" w:cs="Times New Roman"/>
          <w:b/>
          <w:bCs/>
          <w:snapToGrid w:val="0"/>
          <w:color w:val="auto"/>
          <w:kern w:val="0"/>
          <w:sz w:val="30"/>
          <w:szCs w:val="30"/>
          <w:highlight w:val="none"/>
          <w:lang w:val="en-US" w:eastAsia="zh-CN" w:bidi="ar"/>
        </w:rPr>
        <w:t>1</w:t>
      </w:r>
      <w:r>
        <w:rPr>
          <w:rFonts w:hint="default" w:ascii="Times New Roman" w:hAnsi="Times New Roman" w:eastAsia="宋体" w:cs="Times New Roman"/>
          <w:b/>
          <w:bCs/>
          <w:snapToGrid w:val="0"/>
          <w:color w:val="auto"/>
          <w:kern w:val="0"/>
          <w:sz w:val="30"/>
          <w:szCs w:val="30"/>
          <w:highlight w:val="none"/>
          <w:lang w:val="en-US" w:eastAsia="zh-CN" w:bidi="ar"/>
        </w:rPr>
        <w:t>.</w:t>
      </w:r>
      <w:r>
        <w:rPr>
          <w:rFonts w:hint="eastAsia" w:eastAsia="微软雅黑" w:cs="Times New Roman"/>
          <w:b/>
          <w:bCs/>
          <w:snapToGrid w:val="0"/>
          <w:color w:val="auto"/>
          <w:kern w:val="0"/>
          <w:sz w:val="30"/>
          <w:szCs w:val="30"/>
          <w:highlight w:val="none"/>
          <w:lang w:val="en-US" w:eastAsia="zh-CN" w:bidi="ar"/>
        </w:rPr>
        <w:t>主管</w:t>
      </w:r>
      <w:r>
        <w:rPr>
          <w:rFonts w:hint="default" w:ascii="Times New Roman" w:hAnsi="Times New Roman" w:eastAsia="微软雅黑" w:cs="Times New Roman"/>
          <w:b/>
          <w:bCs/>
          <w:snapToGrid w:val="0"/>
          <w:color w:val="auto"/>
          <w:kern w:val="0"/>
          <w:sz w:val="30"/>
          <w:szCs w:val="30"/>
          <w:highlight w:val="none"/>
          <w:lang w:val="en-US" w:eastAsia="zh-CN" w:bidi="ar"/>
        </w:rPr>
        <w:t>单位</w:t>
      </w:r>
      <w:r>
        <w:rPr>
          <w:rFonts w:hint="eastAsia" w:eastAsia="微软雅黑" w:cs="Times New Roman"/>
          <w:b/>
          <w:bCs/>
          <w:snapToGrid w:val="0"/>
          <w:color w:val="auto"/>
          <w:kern w:val="0"/>
          <w:sz w:val="30"/>
          <w:szCs w:val="30"/>
          <w:highlight w:val="none"/>
          <w:lang w:val="en-US" w:eastAsia="zh-CN" w:bidi="ar"/>
        </w:rPr>
        <w:t>：</w:t>
      </w:r>
      <w:bookmarkEnd w:id="1"/>
      <w:r>
        <w:rPr>
          <w:rFonts w:hint="eastAsia" w:eastAsia="微软雅黑" w:cs="Times New Roman"/>
          <w:b/>
          <w:bCs/>
          <w:snapToGrid w:val="0"/>
          <w:color w:val="auto"/>
          <w:kern w:val="0"/>
          <w:sz w:val="30"/>
          <w:szCs w:val="30"/>
          <w:highlight w:val="none"/>
          <w:lang w:val="en-US" w:eastAsia="zh-CN" w:bidi="ar"/>
        </w:rPr>
        <w:t>本溪市住房和城乡建设局</w:t>
      </w:r>
    </w:p>
    <w:p w14:paraId="1CB14EBB">
      <w:pPr>
        <w:keepNext w:val="0"/>
        <w:keepLines w:val="0"/>
        <w:pageBreakBefore w:val="0"/>
        <w:widowControl/>
        <w:suppressLineNumbers w:val="0"/>
        <w:kinsoku w:val="0"/>
        <w:wordWrap/>
        <w:overflowPunct/>
        <w:topLinePunct w:val="0"/>
        <w:autoSpaceDE w:val="0"/>
        <w:autoSpaceDN w:val="0"/>
        <w:bidi w:val="0"/>
        <w:adjustRightInd w:val="0"/>
        <w:snapToGrid w:val="0"/>
        <w:jc w:val="left"/>
        <w:textAlignment w:val="baseline"/>
        <w:outlineLvl w:val="9"/>
        <w:rPr>
          <w:rFonts w:hint="default" w:ascii="Times New Roman" w:hAnsi="Times New Roman" w:cs="Times New Roman"/>
          <w:color w:val="auto"/>
        </w:rPr>
      </w:pPr>
      <w:r>
        <w:rPr>
          <w:rFonts w:hint="eastAsia" w:cs="Times New Roman"/>
          <w:b/>
          <w:bCs/>
          <w:snapToGrid w:val="0"/>
          <w:color w:val="auto"/>
          <w:kern w:val="0"/>
          <w:sz w:val="30"/>
          <w:szCs w:val="30"/>
          <w:lang w:val="en-US" w:eastAsia="zh-CN" w:bidi="ar"/>
        </w:rPr>
        <w:t>2</w:t>
      </w:r>
      <w:r>
        <w:rPr>
          <w:rFonts w:hint="default" w:ascii="Times New Roman" w:hAnsi="Times New Roman" w:eastAsia="宋体" w:cs="Times New Roman"/>
          <w:b/>
          <w:bCs/>
          <w:snapToGrid w:val="0"/>
          <w:color w:val="auto"/>
          <w:kern w:val="0"/>
          <w:sz w:val="30"/>
          <w:szCs w:val="30"/>
          <w:lang w:val="en-US" w:eastAsia="zh-CN" w:bidi="ar"/>
        </w:rPr>
        <w:t>.</w:t>
      </w:r>
      <w:r>
        <w:rPr>
          <w:rFonts w:hint="default" w:ascii="Times New Roman" w:hAnsi="Times New Roman" w:eastAsia="微软雅黑" w:cs="Times New Roman"/>
          <w:b/>
          <w:bCs/>
          <w:snapToGrid w:val="0"/>
          <w:color w:val="auto"/>
          <w:kern w:val="0"/>
          <w:sz w:val="30"/>
          <w:szCs w:val="30"/>
          <w:lang w:val="en-US" w:eastAsia="zh-CN" w:bidi="ar"/>
        </w:rPr>
        <w:t>编制单位</w:t>
      </w:r>
      <w:r>
        <w:rPr>
          <w:rFonts w:hint="eastAsia" w:eastAsia="微软雅黑" w:cs="Times New Roman"/>
          <w:b/>
          <w:bCs/>
          <w:snapToGrid w:val="0"/>
          <w:color w:val="auto"/>
          <w:kern w:val="0"/>
          <w:sz w:val="30"/>
          <w:szCs w:val="30"/>
          <w:lang w:val="en-US" w:eastAsia="zh-CN" w:bidi="ar"/>
        </w:rPr>
        <w:t>：</w:t>
      </w:r>
      <w:r>
        <w:rPr>
          <w:rFonts w:hint="default" w:ascii="Times New Roman" w:hAnsi="Times New Roman" w:eastAsia="微软雅黑" w:cs="Times New Roman"/>
          <w:b/>
          <w:bCs/>
          <w:snapToGrid w:val="0"/>
          <w:color w:val="auto"/>
          <w:kern w:val="0"/>
          <w:sz w:val="30"/>
          <w:szCs w:val="30"/>
          <w:lang w:val="en-US" w:eastAsia="zh-CN" w:bidi="ar"/>
        </w:rPr>
        <w:t>辽宁省市政</w:t>
      </w:r>
      <w:r>
        <w:rPr>
          <w:rFonts w:hint="eastAsia" w:eastAsia="微软雅黑" w:cs="Times New Roman"/>
          <w:b/>
          <w:bCs/>
          <w:snapToGrid w:val="0"/>
          <w:color w:val="auto"/>
          <w:kern w:val="0"/>
          <w:sz w:val="30"/>
          <w:szCs w:val="30"/>
          <w:lang w:val="en-US" w:eastAsia="zh-CN" w:bidi="ar"/>
        </w:rPr>
        <w:t>工程</w:t>
      </w:r>
      <w:r>
        <w:rPr>
          <w:rFonts w:hint="default" w:ascii="Times New Roman" w:hAnsi="Times New Roman" w:eastAsia="微软雅黑" w:cs="Times New Roman"/>
          <w:b/>
          <w:bCs/>
          <w:snapToGrid w:val="0"/>
          <w:color w:val="auto"/>
          <w:kern w:val="0"/>
          <w:sz w:val="30"/>
          <w:szCs w:val="30"/>
          <w:lang w:val="en-US" w:eastAsia="zh-CN" w:bidi="ar"/>
        </w:rPr>
        <w:t>设计研究院有限责任公司</w:t>
      </w:r>
      <w:bookmarkEnd w:id="2"/>
      <w:r>
        <w:rPr>
          <w:rFonts w:hint="default" w:ascii="Times New Roman" w:hAnsi="Times New Roman" w:eastAsia="微软雅黑" w:cs="Times New Roman"/>
          <w:b/>
          <w:bCs/>
          <w:snapToGrid w:val="0"/>
          <w:color w:val="auto"/>
          <w:kern w:val="0"/>
          <w:sz w:val="30"/>
          <w:szCs w:val="30"/>
          <w:lang w:val="en-US" w:eastAsia="zh-CN" w:bidi="ar"/>
        </w:rPr>
        <w:t xml:space="preserve"> </w:t>
      </w:r>
    </w:p>
    <w:p w14:paraId="2617B4BC">
      <w:pPr>
        <w:keepNext w:val="0"/>
        <w:keepLines w:val="0"/>
        <w:pageBreakBefore w:val="0"/>
        <w:widowControl/>
        <w:suppressLineNumbers w:val="0"/>
        <w:kinsoku w:val="0"/>
        <w:wordWrap/>
        <w:overflowPunct/>
        <w:topLinePunct w:val="0"/>
        <w:autoSpaceDE w:val="0"/>
        <w:autoSpaceDN w:val="0"/>
        <w:bidi w:val="0"/>
        <w:adjustRightInd w:val="0"/>
        <w:snapToGrid w:val="0"/>
        <w:jc w:val="left"/>
        <w:textAlignment w:val="baseline"/>
        <w:outlineLvl w:val="9"/>
        <w:rPr>
          <w:rFonts w:hint="default" w:ascii="Times New Roman" w:hAnsi="Times New Roman" w:eastAsia="微软雅黑" w:cs="Times New Roman"/>
          <w:b/>
          <w:bCs/>
          <w:snapToGrid w:val="0"/>
          <w:color w:val="auto"/>
          <w:kern w:val="0"/>
          <w:sz w:val="30"/>
          <w:szCs w:val="30"/>
          <w:lang w:val="en-US" w:eastAsia="zh-CN" w:bidi="ar"/>
        </w:rPr>
      </w:pPr>
      <w:bookmarkStart w:id="3" w:name="_Toc145"/>
      <w:r>
        <w:rPr>
          <w:rFonts w:hint="default" w:ascii="Times New Roman" w:hAnsi="Times New Roman" w:eastAsia="微软雅黑" w:cs="Times New Roman"/>
          <w:b/>
          <w:bCs/>
          <w:snapToGrid w:val="0"/>
          <w:color w:val="auto"/>
          <w:kern w:val="0"/>
          <w:sz w:val="30"/>
          <w:szCs w:val="30"/>
          <w:lang w:val="en-US" w:eastAsia="zh-CN" w:bidi="ar"/>
        </w:rPr>
        <w:t>规划设计资质等级：甲级</w:t>
      </w:r>
      <w:bookmarkEnd w:id="3"/>
    </w:p>
    <w:p w14:paraId="3CAB800B">
      <w:pPr>
        <w:keepNext w:val="0"/>
        <w:keepLines w:val="0"/>
        <w:pageBreakBefore w:val="0"/>
        <w:widowControl/>
        <w:suppressLineNumbers w:val="0"/>
        <w:kinsoku w:val="0"/>
        <w:wordWrap/>
        <w:overflowPunct/>
        <w:topLinePunct w:val="0"/>
        <w:autoSpaceDE w:val="0"/>
        <w:autoSpaceDN w:val="0"/>
        <w:bidi w:val="0"/>
        <w:adjustRightInd w:val="0"/>
        <w:snapToGrid w:val="0"/>
        <w:jc w:val="left"/>
        <w:textAlignment w:val="baseline"/>
        <w:outlineLvl w:val="9"/>
        <w:rPr>
          <w:rFonts w:hint="default" w:ascii="Times New Roman" w:hAnsi="Times New Roman" w:eastAsia="宋体" w:cs="Times New Roman"/>
          <w:b/>
          <w:bCs/>
          <w:snapToGrid w:val="0"/>
          <w:color w:val="auto"/>
          <w:kern w:val="0"/>
          <w:sz w:val="30"/>
          <w:szCs w:val="30"/>
          <w:lang w:val="en-US" w:eastAsia="zh-CN" w:bidi="ar"/>
        </w:rPr>
      </w:pPr>
      <w:r>
        <w:rPr>
          <w:rFonts w:hint="default" w:ascii="Times New Roman" w:hAnsi="Times New Roman" w:eastAsia="微软雅黑" w:cs="Times New Roman"/>
          <w:b/>
          <w:bCs/>
          <w:snapToGrid w:val="0"/>
          <w:color w:val="auto"/>
          <w:kern w:val="0"/>
          <w:sz w:val="30"/>
          <w:szCs w:val="30"/>
          <w:lang w:val="en-US" w:eastAsia="zh-CN" w:bidi="ar"/>
        </w:rPr>
        <w:t>规划设计证书编号：自资规甲字</w:t>
      </w:r>
      <w:r>
        <w:rPr>
          <w:rFonts w:hint="default" w:ascii="Times New Roman" w:hAnsi="Times New Roman" w:eastAsia="宋体" w:cs="Times New Roman"/>
          <w:b/>
          <w:bCs/>
          <w:snapToGrid w:val="0"/>
          <w:color w:val="auto"/>
          <w:kern w:val="0"/>
          <w:sz w:val="30"/>
          <w:szCs w:val="30"/>
          <w:lang w:val="en-US" w:eastAsia="zh-CN" w:bidi="ar"/>
        </w:rPr>
        <w:t xml:space="preserve">23210678 </w:t>
      </w:r>
    </w:p>
    <w:p w14:paraId="6D4B7B8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0" w:firstLineChars="0"/>
        <w:jc w:val="left"/>
        <w:textAlignment w:val="baseline"/>
        <w:outlineLvl w:val="9"/>
        <w:rPr>
          <w:rFonts w:hint="default" w:ascii="Times New Roman" w:hAnsi="Times New Roman" w:cs="Times New Roman"/>
          <w:color w:val="auto"/>
          <w:sz w:val="30"/>
          <w:szCs w:val="30"/>
        </w:rPr>
      </w:pPr>
      <w:bookmarkStart w:id="4" w:name="_Toc24763"/>
      <w:r>
        <w:rPr>
          <w:rFonts w:hint="default" w:ascii="Times New Roman" w:hAnsi="Times New Roman" w:eastAsia="微软雅黑" w:cs="Times New Roman"/>
          <w:b/>
          <w:bCs/>
          <w:snapToGrid w:val="0"/>
          <w:color w:val="auto"/>
          <w:kern w:val="0"/>
          <w:sz w:val="36"/>
          <w:szCs w:val="36"/>
          <w:lang w:val="en-US" w:eastAsia="zh-CN" w:bidi="ar"/>
        </w:rPr>
        <w:t>二、</w:t>
      </w:r>
      <w:r>
        <w:rPr>
          <w:rFonts w:hint="eastAsia" w:eastAsia="微软雅黑" w:cs="Times New Roman"/>
          <w:b/>
          <w:bCs/>
          <w:snapToGrid w:val="0"/>
          <w:color w:val="auto"/>
          <w:kern w:val="0"/>
          <w:sz w:val="36"/>
          <w:szCs w:val="36"/>
          <w:highlight w:val="none"/>
          <w:lang w:val="en-US" w:eastAsia="zh-CN" w:bidi="ar"/>
        </w:rPr>
        <w:t>本溪市</w:t>
      </w:r>
      <w:r>
        <w:rPr>
          <w:rFonts w:hint="eastAsia" w:eastAsia="微软雅黑" w:cs="Times New Roman"/>
          <w:b/>
          <w:bCs/>
          <w:snapToGrid w:val="0"/>
          <w:color w:val="auto"/>
          <w:kern w:val="0"/>
          <w:sz w:val="36"/>
          <w:szCs w:val="36"/>
          <w:lang w:val="en-US" w:eastAsia="zh-CN" w:bidi="ar"/>
        </w:rPr>
        <w:t>建筑垃圾污染环境防治工作规划</w:t>
      </w:r>
      <w:r>
        <w:rPr>
          <w:rFonts w:hint="default" w:ascii="Times New Roman" w:hAnsi="Times New Roman" w:eastAsia="微软雅黑" w:cs="Times New Roman"/>
          <w:b/>
          <w:bCs/>
          <w:snapToGrid w:val="0"/>
          <w:color w:val="auto"/>
          <w:kern w:val="0"/>
          <w:sz w:val="36"/>
          <w:szCs w:val="36"/>
          <w:lang w:val="en-US" w:eastAsia="zh-CN" w:bidi="ar"/>
        </w:rPr>
        <w:t>参编单位及人员</w:t>
      </w:r>
      <w:bookmarkEnd w:id="4"/>
    </w:p>
    <w:p w14:paraId="6954032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0" w:firstLineChars="0"/>
        <w:jc w:val="left"/>
        <w:textAlignment w:val="baseline"/>
        <w:outlineLvl w:val="9"/>
        <w:rPr>
          <w:rFonts w:hint="default" w:ascii="Times New Roman" w:hAnsi="Times New Roman" w:cs="Times New Roman"/>
          <w:color w:val="auto"/>
        </w:rPr>
      </w:pPr>
      <w:bookmarkStart w:id="5" w:name="_Toc1665"/>
      <w:bookmarkStart w:id="6" w:name="_Toc17367"/>
      <w:r>
        <w:rPr>
          <w:rFonts w:hint="eastAsia" w:cs="Times New Roman"/>
          <w:b/>
          <w:bCs/>
          <w:snapToGrid w:val="0"/>
          <w:color w:val="auto"/>
          <w:kern w:val="0"/>
          <w:sz w:val="32"/>
          <w:szCs w:val="32"/>
          <w:lang w:val="en-US" w:eastAsia="zh-CN" w:bidi="ar"/>
        </w:rPr>
        <w:t>1</w:t>
      </w:r>
      <w:r>
        <w:rPr>
          <w:rFonts w:hint="default" w:ascii="Times New Roman" w:hAnsi="Times New Roman" w:eastAsia="宋体" w:cs="Times New Roman"/>
          <w:b/>
          <w:bCs/>
          <w:snapToGrid w:val="0"/>
          <w:color w:val="auto"/>
          <w:kern w:val="0"/>
          <w:sz w:val="32"/>
          <w:szCs w:val="32"/>
          <w:lang w:val="en-US" w:eastAsia="zh-CN" w:bidi="ar"/>
        </w:rPr>
        <w:t>.</w:t>
      </w:r>
      <w:bookmarkEnd w:id="5"/>
      <w:r>
        <w:rPr>
          <w:rFonts w:hint="eastAsia" w:eastAsia="微软雅黑" w:cs="Times New Roman"/>
          <w:b/>
          <w:bCs/>
          <w:snapToGrid w:val="0"/>
          <w:color w:val="auto"/>
          <w:kern w:val="0"/>
          <w:sz w:val="30"/>
          <w:szCs w:val="30"/>
          <w:highlight w:val="none"/>
          <w:lang w:val="en-US" w:eastAsia="zh-CN" w:bidi="ar"/>
        </w:rPr>
        <w:t>本溪市住房和城乡建设局</w:t>
      </w:r>
    </w:p>
    <w:p w14:paraId="2EFE71C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textAlignment w:val="baseline"/>
        <w:outlineLvl w:val="9"/>
        <w:rPr>
          <w:rFonts w:hint="default" w:ascii="Times New Roman" w:hAnsi="Times New Roman" w:eastAsia="微软雅黑" w:cs="Times New Roman"/>
          <w:b/>
          <w:bCs/>
          <w:snapToGrid w:val="0"/>
          <w:color w:val="auto"/>
          <w:kern w:val="0"/>
          <w:sz w:val="30"/>
          <w:szCs w:val="30"/>
          <w:lang w:val="en-US" w:eastAsia="zh-CN" w:bidi="ar"/>
        </w:rPr>
      </w:pPr>
      <w:bookmarkStart w:id="7" w:name="_Toc14061"/>
      <w:r>
        <w:rPr>
          <w:rFonts w:hint="default" w:ascii="Times New Roman" w:hAnsi="Times New Roman" w:eastAsia="微软雅黑" w:cs="Times New Roman"/>
          <w:b/>
          <w:bCs/>
          <w:snapToGrid w:val="0"/>
          <w:color w:val="auto"/>
          <w:kern w:val="0"/>
          <w:sz w:val="30"/>
          <w:szCs w:val="30"/>
          <w:lang w:val="en-US" w:eastAsia="zh-CN" w:bidi="ar"/>
        </w:rPr>
        <w:t xml:space="preserve">主要参编人员：栾奎杰              </w:t>
      </w:r>
      <w:r>
        <w:rPr>
          <w:rFonts w:hint="eastAsia" w:eastAsia="微软雅黑" w:cs="Times New Roman"/>
          <w:b/>
          <w:bCs/>
          <w:snapToGrid w:val="0"/>
          <w:color w:val="auto"/>
          <w:kern w:val="0"/>
          <w:sz w:val="30"/>
          <w:szCs w:val="30"/>
          <w:lang w:val="en-US" w:eastAsia="zh-CN" w:bidi="ar"/>
        </w:rPr>
        <w:t>市政府副市长</w:t>
      </w:r>
    </w:p>
    <w:p w14:paraId="2FF57450">
      <w:pPr>
        <w:keepNext w:val="0"/>
        <w:keepLines w:val="0"/>
        <w:pageBreakBefore w:val="0"/>
        <w:widowControl/>
        <w:kinsoku w:val="0"/>
        <w:wordWrap/>
        <w:overflowPunct/>
        <w:topLinePunct w:val="0"/>
        <w:autoSpaceDE w:val="0"/>
        <w:autoSpaceDN w:val="0"/>
        <w:bidi w:val="0"/>
        <w:adjustRightInd w:val="0"/>
        <w:snapToGrid w:val="0"/>
        <w:spacing w:line="240" w:lineRule="auto"/>
        <w:ind w:firstLine="2101" w:firstLineChars="700"/>
        <w:textAlignment w:val="baseline"/>
        <w:outlineLvl w:val="9"/>
        <w:rPr>
          <w:rFonts w:hint="eastAsia" w:eastAsia="微软雅黑" w:cs="Times New Roman"/>
          <w:b/>
          <w:bCs/>
          <w:snapToGrid w:val="0"/>
          <w:color w:val="auto"/>
          <w:kern w:val="0"/>
          <w:sz w:val="30"/>
          <w:szCs w:val="30"/>
          <w:lang w:val="en-US" w:eastAsia="zh-CN" w:bidi="ar"/>
        </w:rPr>
      </w:pPr>
      <w:r>
        <w:rPr>
          <w:rFonts w:hint="default" w:ascii="Times New Roman" w:hAnsi="Times New Roman" w:eastAsia="微软雅黑" w:cs="Times New Roman"/>
          <w:b/>
          <w:bCs/>
          <w:snapToGrid w:val="0"/>
          <w:color w:val="auto"/>
          <w:kern w:val="0"/>
          <w:sz w:val="30"/>
          <w:szCs w:val="30"/>
          <w:lang w:val="en-US" w:eastAsia="zh-CN" w:bidi="ar"/>
        </w:rPr>
        <w:t>孙</w:t>
      </w:r>
      <w:r>
        <w:rPr>
          <w:rFonts w:hint="eastAsia" w:eastAsia="微软雅黑" w:cs="Times New Roman"/>
          <w:b/>
          <w:bCs/>
          <w:snapToGrid w:val="0"/>
          <w:color w:val="auto"/>
          <w:kern w:val="0"/>
          <w:sz w:val="30"/>
          <w:szCs w:val="30"/>
          <w:lang w:val="en-US" w:eastAsia="zh-CN" w:bidi="ar"/>
        </w:rPr>
        <w:t xml:space="preserve">  </w:t>
      </w:r>
      <w:r>
        <w:rPr>
          <w:rFonts w:hint="default" w:ascii="Times New Roman" w:hAnsi="Times New Roman" w:eastAsia="微软雅黑" w:cs="Times New Roman"/>
          <w:b/>
          <w:bCs/>
          <w:snapToGrid w:val="0"/>
          <w:color w:val="auto"/>
          <w:kern w:val="0"/>
          <w:sz w:val="30"/>
          <w:szCs w:val="30"/>
          <w:lang w:val="en-US" w:eastAsia="zh-CN" w:bidi="ar"/>
        </w:rPr>
        <w:t xml:space="preserve">军              </w:t>
      </w:r>
      <w:r>
        <w:rPr>
          <w:rFonts w:hint="eastAsia" w:eastAsia="微软雅黑" w:cs="Times New Roman"/>
          <w:b/>
          <w:bCs/>
          <w:snapToGrid w:val="0"/>
          <w:color w:val="auto"/>
          <w:kern w:val="0"/>
          <w:sz w:val="30"/>
          <w:szCs w:val="30"/>
          <w:lang w:val="en-US" w:eastAsia="zh-CN" w:bidi="ar"/>
        </w:rPr>
        <w:t>市政协副主席</w:t>
      </w:r>
    </w:p>
    <w:p w14:paraId="53EBDA05">
      <w:pPr>
        <w:keepNext w:val="0"/>
        <w:keepLines w:val="0"/>
        <w:pageBreakBefore w:val="0"/>
        <w:widowControl/>
        <w:kinsoku w:val="0"/>
        <w:wordWrap/>
        <w:overflowPunct/>
        <w:topLinePunct w:val="0"/>
        <w:autoSpaceDE w:val="0"/>
        <w:autoSpaceDN w:val="0"/>
        <w:bidi w:val="0"/>
        <w:adjustRightInd w:val="0"/>
        <w:snapToGrid w:val="0"/>
        <w:spacing w:line="240" w:lineRule="auto"/>
        <w:ind w:firstLine="5102" w:firstLineChars="1700"/>
        <w:textAlignment w:val="baseline"/>
        <w:outlineLvl w:val="9"/>
        <w:rPr>
          <w:rFonts w:hint="eastAsia" w:eastAsia="微软雅黑" w:cs="Times New Roman"/>
          <w:b/>
          <w:bCs/>
          <w:snapToGrid w:val="0"/>
          <w:color w:val="auto"/>
          <w:kern w:val="0"/>
          <w:sz w:val="30"/>
          <w:szCs w:val="30"/>
          <w:lang w:val="en-US" w:eastAsia="zh-CN" w:bidi="ar"/>
        </w:rPr>
      </w:pPr>
      <w:r>
        <w:rPr>
          <w:rFonts w:hint="eastAsia" w:eastAsia="微软雅黑" w:cs="Times New Roman"/>
          <w:b/>
          <w:bCs/>
          <w:snapToGrid w:val="0"/>
          <w:color w:val="auto"/>
          <w:kern w:val="0"/>
          <w:sz w:val="30"/>
          <w:szCs w:val="30"/>
          <w:lang w:val="en-US" w:eastAsia="zh-CN" w:bidi="ar"/>
        </w:rPr>
        <w:t>市工商联主席</w:t>
      </w:r>
    </w:p>
    <w:p w14:paraId="273B57EE">
      <w:pPr>
        <w:keepNext w:val="0"/>
        <w:keepLines w:val="0"/>
        <w:pageBreakBefore w:val="0"/>
        <w:widowControl/>
        <w:kinsoku w:val="0"/>
        <w:wordWrap/>
        <w:overflowPunct/>
        <w:topLinePunct w:val="0"/>
        <w:autoSpaceDE w:val="0"/>
        <w:autoSpaceDN w:val="0"/>
        <w:bidi w:val="0"/>
        <w:adjustRightInd w:val="0"/>
        <w:snapToGrid w:val="0"/>
        <w:spacing w:line="240" w:lineRule="auto"/>
        <w:ind w:firstLine="5102" w:firstLineChars="1700"/>
        <w:textAlignment w:val="baseline"/>
        <w:outlineLvl w:val="9"/>
        <w:rPr>
          <w:rFonts w:hint="default"/>
          <w:color w:val="auto"/>
          <w:lang w:val="en-US" w:eastAsia="zh-CN"/>
        </w:rPr>
      </w:pPr>
      <w:r>
        <w:rPr>
          <w:rFonts w:hint="eastAsia" w:eastAsia="微软雅黑" w:cs="Times New Roman"/>
          <w:b/>
          <w:bCs/>
          <w:snapToGrid w:val="0"/>
          <w:color w:val="auto"/>
          <w:kern w:val="0"/>
          <w:sz w:val="30"/>
          <w:szCs w:val="30"/>
          <w:lang w:val="en-US" w:eastAsia="zh-CN" w:bidi="ar"/>
        </w:rPr>
        <w:t>市住建局局长</w:t>
      </w:r>
    </w:p>
    <w:p w14:paraId="131DFB3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2101" w:firstLineChars="700"/>
        <w:textAlignment w:val="baseline"/>
        <w:outlineLvl w:val="9"/>
        <w:rPr>
          <w:rFonts w:hint="default"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lang w:val="en-US" w:eastAsia="zh-CN" w:bidi="ar"/>
        </w:rPr>
        <w:t>潘政宗              市政府秘书长</w:t>
      </w:r>
    </w:p>
    <w:p w14:paraId="15F8606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2101" w:firstLineChars="700"/>
        <w:textAlignment w:val="baseline"/>
        <w:outlineLvl w:val="9"/>
        <w:rPr>
          <w:rFonts w:hint="default"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lang w:val="en-US" w:eastAsia="zh-CN" w:bidi="ar"/>
        </w:rPr>
        <w:t>赵桐刚</w:t>
      </w:r>
      <w:r>
        <w:rPr>
          <w:rFonts w:hint="default" w:eastAsia="微软雅黑" w:cs="Times New Roman"/>
          <w:b/>
          <w:bCs/>
          <w:snapToGrid w:val="0"/>
          <w:color w:val="auto"/>
          <w:kern w:val="0"/>
          <w:sz w:val="30"/>
          <w:szCs w:val="30"/>
          <w:highlight w:val="none"/>
          <w:lang w:val="en-US" w:eastAsia="zh-CN" w:bidi="ar"/>
        </w:rPr>
        <w:t xml:space="preserve">    </w:t>
      </w:r>
      <w:r>
        <w:rPr>
          <w:rFonts w:hint="eastAsia" w:eastAsia="微软雅黑" w:cs="Times New Roman"/>
          <w:b/>
          <w:bCs/>
          <w:snapToGrid w:val="0"/>
          <w:color w:val="auto"/>
          <w:kern w:val="0"/>
          <w:sz w:val="30"/>
          <w:szCs w:val="30"/>
          <w:highlight w:val="none"/>
          <w:lang w:val="en-US" w:eastAsia="zh-CN" w:bidi="ar"/>
        </w:rPr>
        <w:t xml:space="preserve">          住建局副</w:t>
      </w:r>
      <w:r>
        <w:rPr>
          <w:rFonts w:hint="default" w:eastAsia="微软雅黑" w:cs="Times New Roman"/>
          <w:b/>
          <w:bCs/>
          <w:snapToGrid w:val="0"/>
          <w:color w:val="auto"/>
          <w:kern w:val="0"/>
          <w:sz w:val="30"/>
          <w:szCs w:val="30"/>
          <w:highlight w:val="none"/>
          <w:lang w:val="en-US" w:eastAsia="zh-CN" w:bidi="ar"/>
        </w:rPr>
        <w:t>局长</w:t>
      </w:r>
    </w:p>
    <w:bookmarkEnd w:id="7"/>
    <w:p w14:paraId="78C5789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default"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u w:val="none"/>
          <w:lang w:val="en-US" w:eastAsia="zh-CN" w:bidi="ar"/>
        </w:rPr>
        <w:t>徐海源              城市运行服务中心主任</w:t>
      </w:r>
    </w:p>
    <w:p w14:paraId="3711DDA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eastAsia"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lang w:val="en-US" w:eastAsia="zh-CN" w:bidi="ar"/>
        </w:rPr>
        <w:t>王运成              城市运行服务中心副主任</w:t>
      </w:r>
    </w:p>
    <w:p w14:paraId="0E4ADE6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eastAsia"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lang w:val="en-US" w:eastAsia="zh-CN" w:bidi="ar"/>
        </w:rPr>
        <w:t>吴  斌              城市运行服务中心副主任</w:t>
      </w:r>
    </w:p>
    <w:p w14:paraId="3CFE84E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default"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lang w:val="en-US" w:eastAsia="zh-CN" w:bidi="ar"/>
        </w:rPr>
        <w:t>齐海峰              住建局市容科科长</w:t>
      </w:r>
    </w:p>
    <w:p w14:paraId="565E56F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eastAsia"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lang w:val="en-US" w:eastAsia="zh-CN" w:bidi="ar"/>
        </w:rPr>
        <w:t>黄文辉              城市垃圾处置部部长</w:t>
      </w:r>
    </w:p>
    <w:p w14:paraId="3C91B6F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default"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lang w:val="en-US" w:eastAsia="zh-CN" w:bidi="ar"/>
        </w:rPr>
        <w:t>闫  浩              城市运行服务中心副所长</w:t>
      </w:r>
    </w:p>
    <w:p w14:paraId="4D05651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default" w:eastAsia="微软雅黑" w:cs="Times New Roman"/>
          <w:b/>
          <w:bCs/>
          <w:snapToGrid w:val="0"/>
          <w:color w:val="auto"/>
          <w:kern w:val="0"/>
          <w:sz w:val="30"/>
          <w:szCs w:val="30"/>
          <w:highlight w:val="none"/>
          <w:lang w:val="en-US" w:eastAsia="zh-CN" w:bidi="ar"/>
        </w:rPr>
      </w:pPr>
      <w:r>
        <w:rPr>
          <w:rFonts w:hint="eastAsia" w:eastAsia="微软雅黑" w:cs="Times New Roman"/>
          <w:b/>
          <w:bCs/>
          <w:snapToGrid w:val="0"/>
          <w:color w:val="auto"/>
          <w:kern w:val="0"/>
          <w:sz w:val="30"/>
          <w:szCs w:val="30"/>
          <w:highlight w:val="none"/>
          <w:lang w:val="en-US" w:eastAsia="zh-CN" w:bidi="ar"/>
        </w:rPr>
        <w:t>高  原              城市运行服务中心市容部副部长</w:t>
      </w:r>
    </w:p>
    <w:p w14:paraId="69DCA3D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eastAsia" w:ascii="Times New Roman" w:hAnsi="Times New Roman" w:eastAsia="微软雅黑" w:cs="Times New Roman"/>
          <w:b/>
          <w:bCs/>
          <w:snapToGrid w:val="0"/>
          <w:color w:val="auto"/>
          <w:kern w:val="0"/>
          <w:sz w:val="30"/>
          <w:szCs w:val="30"/>
          <w:highlight w:val="none"/>
          <w:lang w:val="en-US" w:eastAsia="zh-CN" w:bidi="ar"/>
        </w:rPr>
      </w:pPr>
      <w:r>
        <w:rPr>
          <w:rFonts w:hint="eastAsia" w:ascii="Times New Roman" w:hAnsi="Times New Roman" w:eastAsia="微软雅黑" w:cs="Times New Roman"/>
          <w:b/>
          <w:bCs/>
          <w:snapToGrid w:val="0"/>
          <w:color w:val="auto"/>
          <w:kern w:val="0"/>
          <w:sz w:val="30"/>
          <w:szCs w:val="30"/>
          <w:highlight w:val="none"/>
          <w:lang w:val="en-US" w:eastAsia="zh-CN" w:bidi="ar"/>
        </w:rPr>
        <w:t>霍威妮              城市运行服务中心高级工程师</w:t>
      </w:r>
    </w:p>
    <w:p w14:paraId="6B0B81B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2101" w:firstLineChars="700"/>
        <w:jc w:val="left"/>
        <w:textAlignment w:val="baseline"/>
        <w:outlineLvl w:val="9"/>
        <w:rPr>
          <w:rFonts w:hint="default" w:eastAsia="微软雅黑" w:cs="Times New Roman"/>
          <w:b/>
          <w:bCs/>
          <w:snapToGrid w:val="0"/>
          <w:color w:val="auto"/>
          <w:kern w:val="0"/>
          <w:sz w:val="30"/>
          <w:szCs w:val="30"/>
          <w:highlight w:val="none"/>
          <w:lang w:val="en-US" w:eastAsia="zh-CN" w:bidi="ar"/>
        </w:rPr>
      </w:pPr>
      <w:r>
        <w:rPr>
          <w:rFonts w:hint="default" w:eastAsia="微软雅黑" w:cs="Times New Roman"/>
          <w:b/>
          <w:bCs/>
          <w:snapToGrid w:val="0"/>
          <w:color w:val="auto"/>
          <w:kern w:val="0"/>
          <w:sz w:val="30"/>
          <w:szCs w:val="30"/>
          <w:highlight w:val="none"/>
          <w:lang w:val="en-US" w:eastAsia="zh-CN" w:bidi="ar"/>
        </w:rPr>
        <w:t>王</w:t>
      </w:r>
      <w:r>
        <w:rPr>
          <w:rFonts w:hint="eastAsia" w:eastAsia="微软雅黑" w:cs="Times New Roman"/>
          <w:b/>
          <w:bCs/>
          <w:snapToGrid w:val="0"/>
          <w:color w:val="auto"/>
          <w:kern w:val="0"/>
          <w:sz w:val="30"/>
          <w:szCs w:val="30"/>
          <w:highlight w:val="none"/>
          <w:lang w:val="en-US" w:eastAsia="zh-CN" w:bidi="ar"/>
        </w:rPr>
        <w:t xml:space="preserve">  </w:t>
      </w:r>
      <w:r>
        <w:rPr>
          <w:rFonts w:hint="default" w:eastAsia="微软雅黑" w:cs="Times New Roman"/>
          <w:b/>
          <w:bCs/>
          <w:snapToGrid w:val="0"/>
          <w:color w:val="auto"/>
          <w:kern w:val="0"/>
          <w:sz w:val="30"/>
          <w:szCs w:val="30"/>
          <w:highlight w:val="none"/>
          <w:lang w:val="en-US" w:eastAsia="zh-CN" w:bidi="ar"/>
        </w:rPr>
        <w:t xml:space="preserve">磊 </w:t>
      </w:r>
      <w:r>
        <w:rPr>
          <w:rFonts w:hint="eastAsia" w:eastAsia="微软雅黑" w:cs="Times New Roman"/>
          <w:b/>
          <w:bCs/>
          <w:snapToGrid w:val="0"/>
          <w:color w:val="auto"/>
          <w:kern w:val="0"/>
          <w:sz w:val="30"/>
          <w:szCs w:val="30"/>
          <w:highlight w:val="none"/>
          <w:lang w:val="en-US" w:eastAsia="zh-CN" w:bidi="ar"/>
        </w:rPr>
        <w:t xml:space="preserve">             </w:t>
      </w:r>
      <w:r>
        <w:rPr>
          <w:rFonts w:hint="default" w:eastAsia="微软雅黑" w:cs="Times New Roman"/>
          <w:b/>
          <w:bCs/>
          <w:snapToGrid w:val="0"/>
          <w:color w:val="auto"/>
          <w:kern w:val="0"/>
          <w:sz w:val="30"/>
          <w:szCs w:val="30"/>
          <w:highlight w:val="none"/>
          <w:lang w:val="en-US" w:eastAsia="zh-CN" w:bidi="ar"/>
        </w:rPr>
        <w:t>处置所协助负责人</w:t>
      </w:r>
    </w:p>
    <w:p w14:paraId="0C90980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0" w:firstLineChars="0"/>
        <w:jc w:val="left"/>
        <w:textAlignment w:val="baseline"/>
        <w:outlineLvl w:val="9"/>
        <w:rPr>
          <w:rFonts w:hint="eastAsia" w:cs="Times New Roman"/>
          <w:b/>
          <w:bCs/>
          <w:snapToGrid w:val="0"/>
          <w:color w:val="auto"/>
          <w:kern w:val="0"/>
          <w:sz w:val="32"/>
          <w:szCs w:val="32"/>
          <w:lang w:val="en-US" w:eastAsia="zh-CN" w:bidi="ar"/>
        </w:rPr>
      </w:pPr>
    </w:p>
    <w:p w14:paraId="48B97A6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firstLine="0" w:firstLineChars="0"/>
        <w:jc w:val="left"/>
        <w:textAlignment w:val="baseline"/>
        <w:outlineLvl w:val="9"/>
        <w:rPr>
          <w:rFonts w:hint="default" w:ascii="Times New Roman" w:hAnsi="Times New Roman" w:cs="Times New Roman"/>
          <w:color w:val="auto"/>
        </w:rPr>
      </w:pPr>
      <w:r>
        <w:rPr>
          <w:rFonts w:hint="eastAsia" w:cs="Times New Roman"/>
          <w:b/>
          <w:bCs/>
          <w:snapToGrid w:val="0"/>
          <w:color w:val="auto"/>
          <w:kern w:val="0"/>
          <w:sz w:val="32"/>
          <w:szCs w:val="32"/>
          <w:lang w:val="en-US" w:eastAsia="zh-CN" w:bidi="ar"/>
        </w:rPr>
        <w:t>2</w:t>
      </w:r>
      <w:r>
        <w:rPr>
          <w:rFonts w:hint="default" w:ascii="Times New Roman" w:hAnsi="Times New Roman" w:eastAsia="宋体" w:cs="Times New Roman"/>
          <w:b/>
          <w:bCs/>
          <w:snapToGrid w:val="0"/>
          <w:color w:val="auto"/>
          <w:kern w:val="0"/>
          <w:sz w:val="32"/>
          <w:szCs w:val="32"/>
          <w:lang w:val="en-US" w:eastAsia="zh-CN" w:bidi="ar"/>
        </w:rPr>
        <w:t>.</w:t>
      </w:r>
      <w:r>
        <w:rPr>
          <w:rFonts w:hint="default" w:ascii="Times New Roman" w:hAnsi="Times New Roman" w:eastAsia="微软雅黑" w:cs="Times New Roman"/>
          <w:b/>
          <w:bCs/>
          <w:snapToGrid w:val="0"/>
          <w:color w:val="auto"/>
          <w:kern w:val="0"/>
          <w:sz w:val="30"/>
          <w:szCs w:val="30"/>
          <w:lang w:val="en-US" w:eastAsia="zh-CN" w:bidi="ar"/>
        </w:rPr>
        <w:t>辽宁省市政</w:t>
      </w:r>
      <w:r>
        <w:rPr>
          <w:rFonts w:hint="eastAsia" w:eastAsia="微软雅黑" w:cs="Times New Roman"/>
          <w:b/>
          <w:bCs/>
          <w:snapToGrid w:val="0"/>
          <w:color w:val="auto"/>
          <w:kern w:val="0"/>
          <w:sz w:val="30"/>
          <w:szCs w:val="30"/>
          <w:lang w:val="en-US" w:eastAsia="zh-CN" w:bidi="ar"/>
        </w:rPr>
        <w:t>工程</w:t>
      </w:r>
      <w:r>
        <w:rPr>
          <w:rFonts w:hint="default" w:ascii="Times New Roman" w:hAnsi="Times New Roman" w:eastAsia="微软雅黑" w:cs="Times New Roman"/>
          <w:b/>
          <w:bCs/>
          <w:snapToGrid w:val="0"/>
          <w:color w:val="auto"/>
          <w:kern w:val="0"/>
          <w:sz w:val="30"/>
          <w:szCs w:val="30"/>
          <w:lang w:val="en-US" w:eastAsia="zh-CN" w:bidi="ar"/>
        </w:rPr>
        <w:t>设计研究院有限责任公司</w:t>
      </w:r>
      <w:bookmarkEnd w:id="6"/>
    </w:p>
    <w:p w14:paraId="0A944CF1">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outlineLvl w:val="9"/>
        <w:rPr>
          <w:rFonts w:hint="default" w:ascii="Times New Roman" w:hAnsi="Times New Roman" w:eastAsia="微软雅黑" w:cs="Times New Roman"/>
          <w:b/>
          <w:bCs/>
          <w:color w:val="auto"/>
          <w:sz w:val="30"/>
          <w:szCs w:val="30"/>
          <w:lang w:val="en-US" w:eastAsia="zh-CN"/>
        </w:rPr>
      </w:pPr>
      <w:r>
        <w:rPr>
          <w:rFonts w:hint="default" w:ascii="Times New Roman" w:hAnsi="Times New Roman" w:eastAsia="微软雅黑" w:cs="Times New Roman"/>
          <w:b/>
          <w:bCs/>
          <w:color w:val="auto"/>
          <w:spacing w:val="225"/>
          <w:kern w:val="0"/>
          <w:sz w:val="30"/>
          <w:szCs w:val="30"/>
          <w:fitText w:val="1800" w:id="2055416081"/>
          <w:lang w:val="en-US" w:eastAsia="zh-CN"/>
        </w:rPr>
        <w:t>总经</w:t>
      </w:r>
      <w:r>
        <w:rPr>
          <w:rFonts w:hint="default" w:ascii="Times New Roman" w:hAnsi="Times New Roman" w:eastAsia="微软雅黑" w:cs="Times New Roman"/>
          <w:b/>
          <w:bCs/>
          <w:color w:val="auto"/>
          <w:spacing w:val="0"/>
          <w:kern w:val="0"/>
          <w:sz w:val="30"/>
          <w:szCs w:val="30"/>
          <w:fitText w:val="1800" w:id="2055416081"/>
          <w:lang w:val="en-US" w:eastAsia="zh-CN"/>
        </w:rPr>
        <w:t>理</w:t>
      </w:r>
      <w:r>
        <w:rPr>
          <w:rFonts w:hint="default" w:ascii="Times New Roman" w:hAnsi="Times New Roman" w:eastAsia="微软雅黑" w:cs="Times New Roman"/>
          <w:b/>
          <w:bCs/>
          <w:color w:val="auto"/>
          <w:sz w:val="30"/>
          <w:szCs w:val="30"/>
          <w:lang w:val="en-US" w:eastAsia="zh-CN"/>
        </w:rPr>
        <w:t>：庞光辉            教授级高级工程师</w:t>
      </w:r>
    </w:p>
    <w:p w14:paraId="239027D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textAlignment w:val="baseline"/>
        <w:outlineLvl w:val="9"/>
        <w:rPr>
          <w:rFonts w:hint="default" w:ascii="Times New Roman" w:hAnsi="Times New Roman" w:eastAsia="微软雅黑" w:cs="Times New Roman"/>
          <w:b/>
          <w:bCs/>
          <w:color w:val="auto"/>
          <w:sz w:val="30"/>
          <w:szCs w:val="30"/>
          <w:lang w:val="en-US" w:eastAsia="zh-CN"/>
        </w:rPr>
      </w:pPr>
      <w:r>
        <w:rPr>
          <w:rFonts w:hint="default" w:ascii="Times New Roman" w:hAnsi="Times New Roman" w:eastAsia="微软雅黑" w:cs="Times New Roman"/>
          <w:b/>
          <w:bCs/>
          <w:color w:val="auto"/>
          <w:spacing w:val="100"/>
          <w:kern w:val="0"/>
          <w:sz w:val="30"/>
          <w:szCs w:val="30"/>
          <w:fitText w:val="1800" w:id="649465175"/>
          <w:lang w:val="en-US" w:eastAsia="zh-CN"/>
        </w:rPr>
        <w:t>总工程</w:t>
      </w:r>
      <w:r>
        <w:rPr>
          <w:rFonts w:hint="default" w:ascii="Times New Roman" w:hAnsi="Times New Roman" w:eastAsia="微软雅黑" w:cs="Times New Roman"/>
          <w:b/>
          <w:bCs/>
          <w:color w:val="auto"/>
          <w:spacing w:val="0"/>
          <w:kern w:val="0"/>
          <w:sz w:val="30"/>
          <w:szCs w:val="30"/>
          <w:fitText w:val="1800" w:id="649465175"/>
          <w:lang w:val="en-US" w:eastAsia="zh-CN"/>
        </w:rPr>
        <w:t>师</w:t>
      </w:r>
      <w:r>
        <w:rPr>
          <w:rFonts w:hint="default" w:ascii="Times New Roman" w:hAnsi="Times New Roman" w:eastAsia="微软雅黑" w:cs="Times New Roman"/>
          <w:b/>
          <w:bCs/>
          <w:color w:val="auto"/>
          <w:sz w:val="30"/>
          <w:szCs w:val="30"/>
          <w:lang w:val="en-US" w:eastAsia="zh-CN"/>
        </w:rPr>
        <w:t>：</w:t>
      </w:r>
      <w:r>
        <w:rPr>
          <w:rFonts w:hint="eastAsia" w:eastAsia="微软雅黑" w:cs="Times New Roman"/>
          <w:b/>
          <w:bCs/>
          <w:color w:val="auto"/>
          <w:sz w:val="30"/>
          <w:szCs w:val="30"/>
          <w:lang w:val="en-US" w:eastAsia="zh-CN"/>
        </w:rPr>
        <w:t>潘高峰</w:t>
      </w:r>
      <w:r>
        <w:rPr>
          <w:rFonts w:hint="default" w:ascii="Times New Roman" w:hAnsi="Times New Roman" w:eastAsia="微软雅黑" w:cs="Times New Roman"/>
          <w:b/>
          <w:bCs/>
          <w:color w:val="auto"/>
          <w:sz w:val="30"/>
          <w:szCs w:val="30"/>
          <w:lang w:val="en-US" w:eastAsia="zh-CN"/>
        </w:rPr>
        <w:t xml:space="preserve">            </w:t>
      </w:r>
      <w:r>
        <w:rPr>
          <w:rFonts w:hint="eastAsia" w:eastAsia="微软雅黑" w:cs="Times New Roman"/>
          <w:b/>
          <w:bCs/>
          <w:color w:val="auto"/>
          <w:sz w:val="30"/>
          <w:szCs w:val="30"/>
          <w:lang w:val="en-US" w:eastAsia="zh-CN"/>
        </w:rPr>
        <w:t>正</w:t>
      </w:r>
      <w:r>
        <w:rPr>
          <w:rFonts w:hint="default" w:ascii="Times New Roman" w:hAnsi="Times New Roman" w:eastAsia="微软雅黑" w:cs="Times New Roman"/>
          <w:b/>
          <w:bCs/>
          <w:color w:val="auto"/>
          <w:sz w:val="30"/>
          <w:szCs w:val="30"/>
          <w:lang w:val="en-US" w:eastAsia="zh-CN"/>
        </w:rPr>
        <w:t>高级工程师</w:t>
      </w:r>
    </w:p>
    <w:p w14:paraId="2DD6BF5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textAlignment w:val="baseline"/>
        <w:outlineLvl w:val="9"/>
        <w:rPr>
          <w:rFonts w:hint="default" w:ascii="Times New Roman" w:hAnsi="Times New Roman" w:eastAsia="微软雅黑" w:cs="Times New Roman"/>
          <w:b/>
          <w:bCs/>
          <w:color w:val="auto"/>
          <w:sz w:val="30"/>
          <w:szCs w:val="30"/>
          <w:lang w:val="en-US" w:eastAsia="zh-CN"/>
        </w:rPr>
      </w:pPr>
      <w:r>
        <w:rPr>
          <w:rFonts w:hint="default" w:ascii="Times New Roman" w:hAnsi="Times New Roman" w:eastAsia="微软雅黑" w:cs="Times New Roman"/>
          <w:b/>
          <w:bCs/>
          <w:color w:val="auto"/>
          <w:spacing w:val="37"/>
          <w:kern w:val="0"/>
          <w:sz w:val="30"/>
          <w:szCs w:val="30"/>
          <w:fitText w:val="1800" w:id="2055416081"/>
          <w:lang w:val="en-US" w:eastAsia="zh-CN"/>
        </w:rPr>
        <w:t>项目负责</w:t>
      </w:r>
      <w:r>
        <w:rPr>
          <w:rFonts w:hint="default" w:ascii="Times New Roman" w:hAnsi="Times New Roman" w:eastAsia="微软雅黑" w:cs="Times New Roman"/>
          <w:b/>
          <w:bCs/>
          <w:color w:val="auto"/>
          <w:spacing w:val="2"/>
          <w:kern w:val="0"/>
          <w:sz w:val="30"/>
          <w:szCs w:val="30"/>
          <w:fitText w:val="1800" w:id="2055416081"/>
          <w:lang w:val="en-US" w:eastAsia="zh-CN"/>
        </w:rPr>
        <w:t>人</w:t>
      </w:r>
      <w:r>
        <w:rPr>
          <w:rFonts w:hint="default" w:ascii="Times New Roman" w:hAnsi="Times New Roman" w:eastAsia="微软雅黑" w:cs="Times New Roman"/>
          <w:b/>
          <w:bCs/>
          <w:color w:val="auto"/>
          <w:sz w:val="30"/>
          <w:szCs w:val="30"/>
          <w:lang w:val="en-US" w:eastAsia="zh-CN"/>
        </w:rPr>
        <w:t>：郑智勇            正高级工程师</w:t>
      </w:r>
    </w:p>
    <w:p w14:paraId="5FEE51A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textAlignment w:val="baseline"/>
        <w:outlineLvl w:val="9"/>
        <w:rPr>
          <w:rFonts w:hint="default" w:ascii="Times New Roman" w:hAnsi="Times New Roman" w:eastAsia="微软雅黑" w:cs="Times New Roman"/>
          <w:b/>
          <w:bCs/>
          <w:color w:val="auto"/>
          <w:sz w:val="30"/>
          <w:szCs w:val="30"/>
          <w:lang w:val="en-US" w:eastAsia="zh-CN"/>
        </w:rPr>
      </w:pPr>
      <w:r>
        <w:rPr>
          <w:rFonts w:hint="default" w:ascii="Times New Roman" w:hAnsi="Times New Roman" w:eastAsia="微软雅黑" w:cs="Times New Roman"/>
          <w:b/>
          <w:bCs/>
          <w:color w:val="auto"/>
          <w:sz w:val="30"/>
          <w:szCs w:val="30"/>
          <w:lang w:val="en-US" w:eastAsia="zh-CN"/>
        </w:rPr>
        <w:t>参加设计人员：陈一诺            高级工程师</w:t>
      </w:r>
    </w:p>
    <w:p w14:paraId="7C0CBFB8">
      <w:pPr>
        <w:keepNext w:val="0"/>
        <w:keepLines w:val="0"/>
        <w:pageBreakBefore w:val="0"/>
        <w:widowControl/>
        <w:kinsoku w:val="0"/>
        <w:wordWrap/>
        <w:overflowPunct/>
        <w:topLinePunct w:val="0"/>
        <w:autoSpaceDE w:val="0"/>
        <w:autoSpaceDN w:val="0"/>
        <w:bidi w:val="0"/>
        <w:adjustRightInd w:val="0"/>
        <w:snapToGrid w:val="0"/>
        <w:spacing w:line="240" w:lineRule="auto"/>
        <w:ind w:firstLine="2101" w:firstLineChars="700"/>
        <w:textAlignment w:val="baseline"/>
        <w:outlineLvl w:val="9"/>
        <w:rPr>
          <w:rFonts w:hint="default" w:ascii="Times New Roman" w:hAnsi="Times New Roman" w:eastAsia="微软雅黑" w:cs="Times New Roman"/>
          <w:b/>
          <w:bCs/>
          <w:color w:val="auto"/>
          <w:sz w:val="30"/>
          <w:szCs w:val="30"/>
          <w:lang w:val="en-US" w:eastAsia="zh-CN"/>
        </w:rPr>
      </w:pPr>
      <w:r>
        <w:rPr>
          <w:rFonts w:hint="default" w:ascii="Times New Roman" w:hAnsi="Times New Roman" w:eastAsia="微软雅黑" w:cs="Times New Roman"/>
          <w:b/>
          <w:bCs/>
          <w:color w:val="auto"/>
          <w:sz w:val="30"/>
          <w:szCs w:val="30"/>
          <w:lang w:val="en-US" w:eastAsia="zh-CN"/>
        </w:rPr>
        <w:t>杜  芳            高级工程师</w:t>
      </w:r>
    </w:p>
    <w:p w14:paraId="168636F9">
      <w:pPr>
        <w:keepNext w:val="0"/>
        <w:keepLines w:val="0"/>
        <w:pageBreakBefore w:val="0"/>
        <w:widowControl/>
        <w:kinsoku w:val="0"/>
        <w:wordWrap/>
        <w:overflowPunct/>
        <w:topLinePunct w:val="0"/>
        <w:autoSpaceDE w:val="0"/>
        <w:autoSpaceDN w:val="0"/>
        <w:bidi w:val="0"/>
        <w:adjustRightInd w:val="0"/>
        <w:snapToGrid w:val="0"/>
        <w:spacing w:line="240" w:lineRule="auto"/>
        <w:ind w:firstLine="2101" w:firstLineChars="700"/>
        <w:textAlignment w:val="baseline"/>
        <w:outlineLvl w:val="9"/>
        <w:rPr>
          <w:rFonts w:hint="default" w:ascii="Times New Roman" w:hAnsi="Times New Roman" w:eastAsia="微软雅黑" w:cs="Times New Roman"/>
          <w:b/>
          <w:bCs/>
          <w:color w:val="auto"/>
          <w:sz w:val="30"/>
          <w:szCs w:val="30"/>
          <w:lang w:val="en-US" w:eastAsia="zh-CN"/>
        </w:rPr>
      </w:pPr>
      <w:r>
        <w:rPr>
          <w:rFonts w:hint="default" w:ascii="Times New Roman" w:hAnsi="Times New Roman" w:eastAsia="微软雅黑" w:cs="Times New Roman"/>
          <w:b/>
          <w:bCs/>
          <w:color w:val="auto"/>
          <w:sz w:val="30"/>
          <w:szCs w:val="30"/>
          <w:lang w:val="en-US" w:eastAsia="zh-CN"/>
        </w:rPr>
        <w:t xml:space="preserve">于  涛            </w:t>
      </w:r>
      <w:r>
        <w:rPr>
          <w:rFonts w:hint="eastAsia" w:eastAsia="微软雅黑" w:cs="Times New Roman"/>
          <w:b/>
          <w:bCs/>
          <w:color w:val="auto"/>
          <w:sz w:val="30"/>
          <w:szCs w:val="30"/>
          <w:lang w:val="en-US" w:eastAsia="zh-CN"/>
        </w:rPr>
        <w:t>高级</w:t>
      </w:r>
      <w:r>
        <w:rPr>
          <w:rFonts w:hint="default" w:ascii="Times New Roman" w:hAnsi="Times New Roman" w:eastAsia="微软雅黑" w:cs="Times New Roman"/>
          <w:b/>
          <w:bCs/>
          <w:color w:val="auto"/>
          <w:sz w:val="30"/>
          <w:szCs w:val="30"/>
          <w:lang w:val="en-US" w:eastAsia="zh-CN"/>
        </w:rPr>
        <w:t>工程师</w:t>
      </w:r>
    </w:p>
    <w:p w14:paraId="13928D09">
      <w:pPr>
        <w:keepNext w:val="0"/>
        <w:keepLines w:val="0"/>
        <w:pageBreakBefore w:val="0"/>
        <w:widowControl/>
        <w:kinsoku w:val="0"/>
        <w:wordWrap/>
        <w:overflowPunct/>
        <w:topLinePunct w:val="0"/>
        <w:autoSpaceDE w:val="0"/>
        <w:autoSpaceDN w:val="0"/>
        <w:bidi w:val="0"/>
        <w:adjustRightInd w:val="0"/>
        <w:snapToGrid w:val="0"/>
        <w:spacing w:line="240" w:lineRule="auto"/>
        <w:ind w:firstLine="2101" w:firstLineChars="700"/>
        <w:textAlignment w:val="baseline"/>
        <w:outlineLvl w:val="9"/>
        <w:rPr>
          <w:rFonts w:hint="default" w:ascii="Times New Roman" w:hAnsi="Times New Roman" w:eastAsia="微软雅黑" w:cs="Times New Roman"/>
          <w:b/>
          <w:bCs/>
          <w:color w:val="auto"/>
          <w:sz w:val="30"/>
          <w:szCs w:val="30"/>
          <w:lang w:val="en-US" w:eastAsia="zh-CN"/>
        </w:rPr>
      </w:pPr>
      <w:bookmarkStart w:id="8" w:name="_Toc1945"/>
      <w:r>
        <w:rPr>
          <w:rFonts w:hint="eastAsia" w:eastAsia="微软雅黑" w:cs="Times New Roman"/>
          <w:b/>
          <w:bCs/>
          <w:color w:val="auto"/>
          <w:sz w:val="30"/>
          <w:szCs w:val="30"/>
          <w:lang w:val="en-US" w:eastAsia="zh-CN"/>
        </w:rPr>
        <w:t>董晓楠</w:t>
      </w:r>
      <w:r>
        <w:rPr>
          <w:rFonts w:hint="default" w:ascii="Times New Roman" w:hAnsi="Times New Roman" w:eastAsia="微软雅黑" w:cs="Times New Roman"/>
          <w:b/>
          <w:bCs/>
          <w:color w:val="auto"/>
          <w:sz w:val="30"/>
          <w:szCs w:val="30"/>
          <w:lang w:val="en-US" w:eastAsia="zh-CN"/>
        </w:rPr>
        <w:t xml:space="preserve">            工程师</w:t>
      </w:r>
      <w:bookmarkEnd w:id="8"/>
    </w:p>
    <w:p w14:paraId="285BAC40">
      <w:pPr>
        <w:keepNext w:val="0"/>
        <w:keepLines w:val="0"/>
        <w:pageBreakBefore w:val="0"/>
        <w:widowControl/>
        <w:kinsoku w:val="0"/>
        <w:wordWrap/>
        <w:overflowPunct/>
        <w:topLinePunct w:val="0"/>
        <w:autoSpaceDE w:val="0"/>
        <w:autoSpaceDN w:val="0"/>
        <w:bidi w:val="0"/>
        <w:adjustRightInd w:val="0"/>
        <w:snapToGrid w:val="0"/>
        <w:spacing w:line="240" w:lineRule="auto"/>
        <w:ind w:firstLine="2101" w:firstLineChars="700"/>
        <w:textAlignment w:val="baseline"/>
        <w:outlineLvl w:val="9"/>
        <w:rPr>
          <w:rFonts w:hint="default" w:ascii="Times New Roman" w:hAnsi="Times New Roman" w:eastAsia="微软雅黑" w:cs="Times New Roman"/>
          <w:b/>
          <w:bCs/>
          <w:color w:val="auto"/>
          <w:sz w:val="30"/>
          <w:szCs w:val="30"/>
          <w:lang w:val="en-US" w:eastAsia="zh-CN"/>
        </w:rPr>
      </w:pPr>
      <w:r>
        <w:rPr>
          <w:rFonts w:hint="default" w:ascii="Times New Roman" w:hAnsi="Times New Roman" w:eastAsia="微软雅黑" w:cs="Times New Roman"/>
          <w:b/>
          <w:bCs/>
          <w:color w:val="auto"/>
          <w:sz w:val="30"/>
          <w:szCs w:val="30"/>
          <w:lang w:val="en-US" w:eastAsia="zh-CN"/>
        </w:rPr>
        <w:t>王子龙            工程师</w:t>
      </w:r>
    </w:p>
    <w:p w14:paraId="6AC35B77">
      <w:pPr>
        <w:keepNext w:val="0"/>
        <w:keepLines w:val="0"/>
        <w:pageBreakBefore w:val="0"/>
        <w:widowControl/>
        <w:kinsoku w:val="0"/>
        <w:wordWrap/>
        <w:overflowPunct/>
        <w:topLinePunct w:val="0"/>
        <w:autoSpaceDE w:val="0"/>
        <w:autoSpaceDN w:val="0"/>
        <w:bidi w:val="0"/>
        <w:adjustRightInd w:val="0"/>
        <w:snapToGrid w:val="0"/>
        <w:spacing w:line="240" w:lineRule="auto"/>
        <w:ind w:firstLine="2101" w:firstLineChars="700"/>
        <w:textAlignment w:val="baseline"/>
        <w:outlineLvl w:val="9"/>
        <w:rPr>
          <w:rFonts w:hint="default" w:ascii="Times New Roman" w:hAnsi="Times New Roman" w:eastAsia="微软雅黑" w:cs="Times New Roman"/>
          <w:b/>
          <w:bCs/>
          <w:color w:val="auto"/>
          <w:sz w:val="30"/>
          <w:szCs w:val="30"/>
          <w:lang w:val="en-US" w:eastAsia="zh-CN"/>
        </w:rPr>
      </w:pPr>
      <w:r>
        <w:rPr>
          <w:rFonts w:hint="eastAsia" w:eastAsia="微软雅黑" w:cs="Times New Roman"/>
          <w:b/>
          <w:bCs/>
          <w:color w:val="auto"/>
          <w:sz w:val="30"/>
          <w:szCs w:val="30"/>
          <w:lang w:val="en-US" w:eastAsia="zh-CN"/>
        </w:rPr>
        <w:t>白永日            工程师</w:t>
      </w:r>
    </w:p>
    <w:p w14:paraId="652C3289">
      <w:pPr>
        <w:keepNext w:val="0"/>
        <w:keepLines w:val="0"/>
        <w:pageBreakBefore w:val="0"/>
        <w:widowControl/>
        <w:kinsoku w:val="0"/>
        <w:wordWrap/>
        <w:overflowPunct/>
        <w:topLinePunct w:val="0"/>
        <w:autoSpaceDE w:val="0"/>
        <w:autoSpaceDN w:val="0"/>
        <w:bidi w:val="0"/>
        <w:adjustRightInd w:val="0"/>
        <w:snapToGrid w:val="0"/>
        <w:spacing w:line="240" w:lineRule="auto"/>
        <w:ind w:firstLine="2101" w:firstLineChars="700"/>
        <w:textAlignment w:val="baseline"/>
        <w:outlineLvl w:val="9"/>
        <w:rPr>
          <w:rFonts w:hint="default" w:ascii="Times New Roman" w:hAnsi="Times New Roman" w:eastAsia="微软雅黑" w:cs="Times New Roman"/>
          <w:b/>
          <w:bCs/>
          <w:color w:val="auto"/>
          <w:sz w:val="30"/>
          <w:szCs w:val="30"/>
          <w:lang w:val="en-US" w:eastAsia="zh-CN"/>
        </w:rPr>
      </w:pPr>
      <w:r>
        <w:rPr>
          <w:rFonts w:hint="default" w:ascii="Times New Roman" w:hAnsi="Times New Roman" w:eastAsia="微软雅黑" w:cs="Times New Roman"/>
          <w:b/>
          <w:bCs/>
          <w:color w:val="auto"/>
          <w:sz w:val="30"/>
          <w:szCs w:val="30"/>
          <w:lang w:val="en-US" w:eastAsia="zh-CN"/>
        </w:rPr>
        <w:t>薛  峰            助理工程师</w:t>
      </w:r>
    </w:p>
    <w:p w14:paraId="60D6E040">
      <w:pPr>
        <w:keepNext w:val="0"/>
        <w:keepLines w:val="0"/>
        <w:pageBreakBefore w:val="0"/>
        <w:widowControl/>
        <w:kinsoku w:val="0"/>
        <w:wordWrap/>
        <w:overflowPunct/>
        <w:topLinePunct w:val="0"/>
        <w:autoSpaceDE w:val="0"/>
        <w:autoSpaceDN w:val="0"/>
        <w:bidi w:val="0"/>
        <w:adjustRightInd w:val="0"/>
        <w:snapToGrid w:val="0"/>
        <w:spacing w:line="240" w:lineRule="auto"/>
        <w:ind w:firstLine="2101" w:firstLineChars="700"/>
        <w:textAlignment w:val="baseline"/>
        <w:outlineLvl w:val="9"/>
        <w:rPr>
          <w:rFonts w:hint="default" w:ascii="Times New Roman" w:hAnsi="Times New Roman" w:eastAsia="微软雅黑" w:cs="Times New Roman"/>
          <w:b/>
          <w:bCs/>
          <w:color w:val="auto"/>
          <w:sz w:val="30"/>
          <w:szCs w:val="30"/>
          <w:lang w:val="en-US" w:eastAsia="zh-CN"/>
        </w:rPr>
      </w:pPr>
    </w:p>
    <w:p w14:paraId="6EC7D24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textAlignment w:val="baseline"/>
        <w:outlineLvl w:val="9"/>
        <w:rPr>
          <w:rFonts w:hint="default" w:ascii="Times New Roman" w:hAnsi="Times New Roman" w:cs="Times New Roman"/>
          <w:b w:val="0"/>
          <w:bCs w:val="0"/>
          <w:color w:val="auto"/>
        </w:rPr>
      </w:pPr>
      <w:r>
        <w:rPr>
          <w:rFonts w:hint="default" w:ascii="Times New Roman" w:hAnsi="Times New Roman" w:eastAsia="微软雅黑" w:cs="Times New Roman"/>
          <w:b/>
          <w:bCs/>
          <w:snapToGrid w:val="0"/>
          <w:color w:val="auto"/>
          <w:kern w:val="0"/>
          <w:sz w:val="30"/>
          <w:szCs w:val="30"/>
          <w:lang w:val="en-US" w:eastAsia="zh-CN" w:bidi="ar"/>
        </w:rPr>
        <w:drawing>
          <wp:inline distT="0" distB="0" distL="114300" distR="114300">
            <wp:extent cx="5431790" cy="3841115"/>
            <wp:effectExtent l="0" t="0" r="16510" b="6985"/>
            <wp:docPr id="12" name="图片 12" descr="微信图片_2025021710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50217105254"/>
                    <pic:cNvPicPr>
                      <a:picLocks noChangeAspect="1"/>
                    </pic:cNvPicPr>
                  </pic:nvPicPr>
                  <pic:blipFill>
                    <a:blip r:embed="rId9"/>
                    <a:stretch>
                      <a:fillRect/>
                    </a:stretch>
                  </pic:blipFill>
                  <pic:spPr>
                    <a:xfrm>
                      <a:off x="0" y="0"/>
                      <a:ext cx="5431790" cy="3841115"/>
                    </a:xfrm>
                    <a:prstGeom prst="rect">
                      <a:avLst/>
                    </a:prstGeom>
                  </pic:spPr>
                </pic:pic>
              </a:graphicData>
            </a:graphic>
          </wp:inline>
        </w:drawing>
      </w:r>
    </w:p>
    <w:p w14:paraId="428FCC89">
      <w:pPr>
        <w:bidi w:val="0"/>
        <w:rPr>
          <w:rFonts w:hint="default"/>
          <w:color w:val="auto"/>
          <w:lang w:val="en-US" w:eastAsia="zh-CN"/>
        </w:rPr>
      </w:pPr>
    </w:p>
    <w:p w14:paraId="7D0FE49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default" w:ascii="Times New Roman" w:hAnsi="Times New Roman" w:eastAsia="宋体" w:cs="Times New Roman"/>
          <w:color w:val="auto"/>
          <w:spacing w:val="43"/>
          <w:sz w:val="43"/>
          <w:szCs w:val="43"/>
          <w:highlight w:val="none"/>
          <w:lang w:val="en-US" w:eastAsia="zh-CN"/>
          <w14:textOutline w14:w="7972" w14:cap="sq" w14:cmpd="sng">
            <w14:solidFill>
              <w14:srgbClr w14:val="1C4D97"/>
            </w14:solidFill>
            <w14:prstDash w14:val="solid"/>
            <w14:bevel/>
          </w14:textOutline>
        </w:rPr>
      </w:pPr>
    </w:p>
    <w:p w14:paraId="31B5287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rPr>
          <w:rFonts w:hint="default" w:ascii="Times New Roman" w:hAnsi="Times New Roman" w:eastAsia="宋体" w:cs="Times New Roman"/>
          <w:color w:val="auto"/>
          <w:spacing w:val="43"/>
          <w:sz w:val="43"/>
          <w:szCs w:val="43"/>
          <w:highlight w:val="none"/>
          <w:lang w:val="en-US" w:eastAsia="zh-CN"/>
          <w14:textOutline w14:w="7972" w14:cap="sq" w14:cmpd="sng">
            <w14:solidFill>
              <w14:srgbClr w14:val="1C4D97"/>
            </w14:solidFill>
            <w14:prstDash w14:val="solid"/>
            <w14:bevel/>
          </w14:textOutline>
        </w:rPr>
        <w:sectPr>
          <w:pgSz w:w="23811" w:h="16838" w:orient="landscape"/>
          <w:pgMar w:top="1800" w:right="1440" w:bottom="1800" w:left="1440" w:header="851" w:footer="992" w:gutter="0"/>
          <w:pgBorders>
            <w:top w:val="none" w:sz="0" w:space="0"/>
            <w:left w:val="none" w:sz="0" w:space="0"/>
            <w:bottom w:val="none" w:sz="0" w:space="0"/>
            <w:right w:val="none" w:sz="0" w:space="0"/>
          </w:pgBorders>
          <w:cols w:equalWidth="0" w:num="2">
            <w:col w:w="10253" w:space="425"/>
            <w:col w:w="10253"/>
          </w:cols>
          <w:docGrid w:type="lines" w:linePitch="312" w:charSpace="0"/>
        </w:sectPr>
      </w:pPr>
    </w:p>
    <w:p w14:paraId="5D8E4FF1">
      <w:pPr>
        <w:pStyle w:val="2"/>
        <w:bidi w:val="0"/>
        <w:rPr>
          <w:rFonts w:hint="eastAsia"/>
          <w:color w:val="auto"/>
        </w:rPr>
      </w:pPr>
      <w:bookmarkStart w:id="9" w:name="_Toc31875"/>
      <w:r>
        <w:rPr>
          <w:rFonts w:hint="eastAsia"/>
          <w:color w:val="auto"/>
        </w:rPr>
        <w:t>目录</w:t>
      </w:r>
      <w:bookmarkEnd w:id="9"/>
    </w:p>
    <w:p w14:paraId="750F2F29">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TOC \o "1-3" \h \u </w:instrText>
      </w:r>
      <w:r>
        <w:rPr>
          <w:rFonts w:hint="default" w:ascii="Times New Roman" w:hAnsi="Times New Roman" w:cs="Times New Roman"/>
          <w:color w:val="auto"/>
        </w:rPr>
        <w:fldChar w:fldCharType="separate"/>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_Toc31875 </w:instrText>
      </w:r>
      <w:r>
        <w:rPr>
          <w:rFonts w:hint="default" w:ascii="Times New Roman" w:hAnsi="Times New Roman" w:cs="Times New Roman"/>
          <w:color w:val="auto"/>
        </w:rPr>
        <w:fldChar w:fldCharType="separate"/>
      </w:r>
      <w:r>
        <w:rPr>
          <w:rFonts w:hint="eastAsia"/>
          <w:color w:val="auto"/>
        </w:rPr>
        <w:t>目录</w:t>
      </w:r>
      <w:r>
        <w:rPr>
          <w:color w:val="auto"/>
        </w:rPr>
        <w:tab/>
      </w:r>
      <w:r>
        <w:rPr>
          <w:color w:val="auto"/>
        </w:rPr>
        <w:fldChar w:fldCharType="begin"/>
      </w:r>
      <w:r>
        <w:rPr>
          <w:color w:val="auto"/>
        </w:rPr>
        <w:instrText xml:space="preserve"> PAGEREF _Toc31875 \h </w:instrText>
      </w:r>
      <w:r>
        <w:rPr>
          <w:color w:val="auto"/>
        </w:rPr>
        <w:fldChar w:fldCharType="separate"/>
      </w:r>
      <w:r>
        <w:rPr>
          <w:color w:val="auto"/>
        </w:rPr>
        <w:t>I</w:t>
      </w:r>
      <w:r>
        <w:rPr>
          <w:color w:val="auto"/>
        </w:rPr>
        <w:fldChar w:fldCharType="end"/>
      </w:r>
      <w:r>
        <w:rPr>
          <w:rFonts w:hint="default" w:ascii="Times New Roman" w:hAnsi="Times New Roman" w:cs="Times New Roman"/>
          <w:color w:val="auto"/>
        </w:rPr>
        <w:fldChar w:fldCharType="end"/>
      </w:r>
    </w:p>
    <w:p w14:paraId="0CC4EB9A">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_Toc17625 </w:instrText>
      </w:r>
      <w:r>
        <w:rPr>
          <w:rFonts w:hint="default" w:ascii="Times New Roman" w:hAnsi="Times New Roman" w:cs="Times New Roman"/>
          <w:color w:val="auto"/>
        </w:rPr>
        <w:fldChar w:fldCharType="separate"/>
      </w:r>
      <w:r>
        <w:rPr>
          <w:rFonts w:hint="default" w:ascii="Times New Roman" w:hAnsi="Times New Roman" w:cs="Times New Roman"/>
          <w:color w:val="auto"/>
        </w:rPr>
        <w:t>第一章</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总则</w:t>
      </w:r>
      <w:r>
        <w:rPr>
          <w:color w:val="auto"/>
        </w:rPr>
        <w:tab/>
      </w:r>
      <w:r>
        <w:rPr>
          <w:color w:val="auto"/>
        </w:rPr>
        <w:fldChar w:fldCharType="begin"/>
      </w:r>
      <w:r>
        <w:rPr>
          <w:color w:val="auto"/>
        </w:rPr>
        <w:instrText xml:space="preserve"> PAGEREF _Toc17625 \h </w:instrText>
      </w:r>
      <w:r>
        <w:rPr>
          <w:color w:val="auto"/>
        </w:rPr>
        <w:fldChar w:fldCharType="separate"/>
      </w:r>
      <w:r>
        <w:rPr>
          <w:color w:val="auto"/>
        </w:rPr>
        <w:t>1</w:t>
      </w:r>
      <w:r>
        <w:rPr>
          <w:color w:val="auto"/>
        </w:rPr>
        <w:fldChar w:fldCharType="end"/>
      </w:r>
      <w:r>
        <w:rPr>
          <w:rFonts w:hint="default" w:ascii="Times New Roman" w:hAnsi="Times New Roman" w:cs="Times New Roman"/>
          <w:color w:val="auto"/>
        </w:rPr>
        <w:fldChar w:fldCharType="end"/>
      </w:r>
    </w:p>
    <w:p w14:paraId="6A10F2EE">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_Toc22533 </w:instrText>
      </w:r>
      <w:r>
        <w:rPr>
          <w:rFonts w:hint="default" w:ascii="Times New Roman" w:hAnsi="Times New Roman" w:cs="Times New Roman"/>
          <w:color w:val="auto"/>
        </w:rPr>
        <w:fldChar w:fldCharType="separate"/>
      </w:r>
      <w:r>
        <w:rPr>
          <w:rFonts w:hint="default"/>
          <w:color w:val="auto"/>
        </w:rPr>
        <w:t>1.1</w:t>
      </w:r>
      <w:r>
        <w:rPr>
          <w:rFonts w:hint="default"/>
          <w:color w:val="auto"/>
          <w:lang w:val="en-US" w:eastAsia="zh-CN"/>
        </w:rPr>
        <w:t xml:space="preserve"> </w:t>
      </w:r>
      <w:r>
        <w:rPr>
          <w:rFonts w:hint="default"/>
          <w:color w:val="auto"/>
        </w:rPr>
        <w:t>编制</w:t>
      </w:r>
      <w:r>
        <w:rPr>
          <w:rFonts w:hint="default"/>
          <w:color w:val="auto"/>
          <w:lang w:val="en-US" w:eastAsia="zh-CN"/>
        </w:rPr>
        <w:t>背景及</w:t>
      </w:r>
      <w:r>
        <w:rPr>
          <w:rFonts w:hint="default"/>
          <w:color w:val="auto"/>
        </w:rPr>
        <w:t>目的</w:t>
      </w:r>
      <w:r>
        <w:rPr>
          <w:color w:val="auto"/>
        </w:rPr>
        <w:tab/>
      </w:r>
      <w:r>
        <w:rPr>
          <w:color w:val="auto"/>
        </w:rPr>
        <w:fldChar w:fldCharType="begin"/>
      </w:r>
      <w:r>
        <w:rPr>
          <w:color w:val="auto"/>
        </w:rPr>
        <w:instrText xml:space="preserve"> PAGEREF _Toc22533 \h </w:instrText>
      </w:r>
      <w:r>
        <w:rPr>
          <w:color w:val="auto"/>
        </w:rPr>
        <w:fldChar w:fldCharType="separate"/>
      </w:r>
      <w:r>
        <w:rPr>
          <w:color w:val="auto"/>
        </w:rPr>
        <w:t>1</w:t>
      </w:r>
      <w:r>
        <w:rPr>
          <w:color w:val="auto"/>
        </w:rPr>
        <w:fldChar w:fldCharType="end"/>
      </w:r>
      <w:r>
        <w:rPr>
          <w:rFonts w:hint="default" w:ascii="Times New Roman" w:hAnsi="Times New Roman" w:cs="Times New Roman"/>
          <w:color w:val="auto"/>
        </w:rPr>
        <w:fldChar w:fldCharType="end"/>
      </w:r>
    </w:p>
    <w:p w14:paraId="18D72E91">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_Toc10601 </w:instrText>
      </w:r>
      <w:r>
        <w:rPr>
          <w:rFonts w:hint="default" w:ascii="Times New Roman" w:hAnsi="Times New Roman" w:cs="Times New Roman"/>
          <w:color w:val="auto"/>
        </w:rPr>
        <w:fldChar w:fldCharType="separate"/>
      </w:r>
      <w:r>
        <w:rPr>
          <w:rFonts w:hint="default"/>
          <w:color w:val="auto"/>
          <w:lang w:val="en-US" w:eastAsia="zh-CN"/>
        </w:rPr>
        <w:t>1.</w:t>
      </w:r>
      <w:r>
        <w:rPr>
          <w:rFonts w:hint="eastAsia"/>
          <w:color w:val="auto"/>
          <w:lang w:val="en-US" w:eastAsia="zh-CN"/>
        </w:rPr>
        <w:t>2</w:t>
      </w:r>
      <w:r>
        <w:rPr>
          <w:rFonts w:hint="default"/>
          <w:color w:val="auto"/>
          <w:lang w:val="en-US" w:eastAsia="zh-CN"/>
        </w:rPr>
        <w:t xml:space="preserve"> 指导思想</w:t>
      </w:r>
      <w:r>
        <w:rPr>
          <w:color w:val="auto"/>
        </w:rPr>
        <w:tab/>
      </w:r>
      <w:r>
        <w:rPr>
          <w:color w:val="auto"/>
        </w:rPr>
        <w:fldChar w:fldCharType="begin"/>
      </w:r>
      <w:r>
        <w:rPr>
          <w:color w:val="auto"/>
        </w:rPr>
        <w:instrText xml:space="preserve"> PAGEREF _Toc10601 \h </w:instrText>
      </w:r>
      <w:r>
        <w:rPr>
          <w:color w:val="auto"/>
        </w:rPr>
        <w:fldChar w:fldCharType="separate"/>
      </w:r>
      <w:r>
        <w:rPr>
          <w:color w:val="auto"/>
        </w:rPr>
        <w:t>2</w:t>
      </w:r>
      <w:r>
        <w:rPr>
          <w:color w:val="auto"/>
        </w:rPr>
        <w:fldChar w:fldCharType="end"/>
      </w:r>
      <w:r>
        <w:rPr>
          <w:rFonts w:hint="default" w:ascii="Times New Roman" w:hAnsi="Times New Roman" w:cs="Times New Roman"/>
          <w:color w:val="auto"/>
        </w:rPr>
        <w:fldChar w:fldCharType="end"/>
      </w:r>
    </w:p>
    <w:p w14:paraId="711388E2">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_Toc26164 </w:instrText>
      </w:r>
      <w:r>
        <w:rPr>
          <w:rFonts w:hint="default" w:ascii="Times New Roman" w:hAnsi="Times New Roman" w:cs="Times New Roman"/>
          <w:color w:val="auto"/>
        </w:rPr>
        <w:fldChar w:fldCharType="separate"/>
      </w:r>
      <w:r>
        <w:rPr>
          <w:rFonts w:hint="default"/>
          <w:color w:val="auto"/>
          <w:lang w:val="en-US" w:eastAsia="zh-CN"/>
        </w:rPr>
        <w:t>1.</w:t>
      </w:r>
      <w:r>
        <w:rPr>
          <w:rFonts w:hint="eastAsia"/>
          <w:color w:val="auto"/>
          <w:lang w:val="en-US" w:eastAsia="zh-CN"/>
        </w:rPr>
        <w:t>3</w:t>
      </w:r>
      <w:r>
        <w:rPr>
          <w:rFonts w:hint="default"/>
          <w:color w:val="auto"/>
          <w:lang w:val="en-US" w:eastAsia="zh-CN"/>
        </w:rPr>
        <w:t xml:space="preserve"> 规划原则</w:t>
      </w:r>
      <w:r>
        <w:rPr>
          <w:color w:val="auto"/>
        </w:rPr>
        <w:tab/>
      </w:r>
      <w:r>
        <w:rPr>
          <w:color w:val="auto"/>
        </w:rPr>
        <w:fldChar w:fldCharType="begin"/>
      </w:r>
      <w:r>
        <w:rPr>
          <w:color w:val="auto"/>
        </w:rPr>
        <w:instrText xml:space="preserve"> PAGEREF _Toc26164 \h </w:instrText>
      </w:r>
      <w:r>
        <w:rPr>
          <w:color w:val="auto"/>
        </w:rPr>
        <w:fldChar w:fldCharType="separate"/>
      </w:r>
      <w:r>
        <w:rPr>
          <w:color w:val="auto"/>
        </w:rPr>
        <w:t>2</w:t>
      </w:r>
      <w:r>
        <w:rPr>
          <w:color w:val="auto"/>
        </w:rPr>
        <w:fldChar w:fldCharType="end"/>
      </w:r>
      <w:r>
        <w:rPr>
          <w:rFonts w:hint="default" w:ascii="Times New Roman" w:hAnsi="Times New Roman" w:cs="Times New Roman"/>
          <w:color w:val="auto"/>
        </w:rPr>
        <w:fldChar w:fldCharType="end"/>
      </w:r>
    </w:p>
    <w:p w14:paraId="223FE910">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_Toc26591 </w:instrText>
      </w:r>
      <w:r>
        <w:rPr>
          <w:rFonts w:hint="default" w:ascii="Times New Roman" w:hAnsi="Times New Roman" w:cs="Times New Roman"/>
          <w:color w:val="auto"/>
        </w:rPr>
        <w:fldChar w:fldCharType="separate"/>
      </w:r>
      <w:r>
        <w:rPr>
          <w:rFonts w:hint="default"/>
          <w:color w:val="auto"/>
        </w:rPr>
        <w:t>1.</w:t>
      </w:r>
      <w:r>
        <w:rPr>
          <w:rFonts w:hint="eastAsia"/>
          <w:color w:val="auto"/>
          <w:lang w:val="en-US" w:eastAsia="zh-CN"/>
        </w:rPr>
        <w:t>4</w:t>
      </w:r>
      <w:r>
        <w:rPr>
          <w:rFonts w:hint="default"/>
          <w:color w:val="auto"/>
          <w:lang w:val="en-US" w:eastAsia="zh-CN"/>
        </w:rPr>
        <w:t xml:space="preserve"> </w:t>
      </w:r>
      <w:r>
        <w:rPr>
          <w:rFonts w:hint="default"/>
          <w:color w:val="auto"/>
        </w:rPr>
        <w:t>规划依据</w:t>
      </w:r>
      <w:r>
        <w:rPr>
          <w:color w:val="auto"/>
        </w:rPr>
        <w:tab/>
      </w:r>
      <w:r>
        <w:rPr>
          <w:color w:val="auto"/>
        </w:rPr>
        <w:fldChar w:fldCharType="begin"/>
      </w:r>
      <w:r>
        <w:rPr>
          <w:color w:val="auto"/>
        </w:rPr>
        <w:instrText xml:space="preserve"> PAGEREF _Toc26591 \h </w:instrText>
      </w:r>
      <w:r>
        <w:rPr>
          <w:color w:val="auto"/>
        </w:rPr>
        <w:fldChar w:fldCharType="separate"/>
      </w:r>
      <w:r>
        <w:rPr>
          <w:color w:val="auto"/>
        </w:rPr>
        <w:t>2</w:t>
      </w:r>
      <w:r>
        <w:rPr>
          <w:color w:val="auto"/>
        </w:rPr>
        <w:fldChar w:fldCharType="end"/>
      </w:r>
      <w:r>
        <w:rPr>
          <w:rFonts w:hint="default" w:ascii="Times New Roman" w:hAnsi="Times New Roman" w:cs="Times New Roman"/>
          <w:color w:val="auto"/>
        </w:rPr>
        <w:fldChar w:fldCharType="end"/>
      </w:r>
    </w:p>
    <w:p w14:paraId="5FDB4574">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_Toc6628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eastAsia" w:cs="Times New Roman"/>
          <w:color w:val="auto"/>
          <w:lang w:val="en-US" w:eastAsia="zh-CN"/>
        </w:rPr>
        <w:t>4</w:t>
      </w:r>
      <w:r>
        <w:rPr>
          <w:rFonts w:hint="default" w:ascii="Times New Roman" w:hAnsi="Times New Roman" w:cs="Times New Roman"/>
          <w:color w:val="auto"/>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法律、法规及政策文件</w:t>
      </w:r>
      <w:r>
        <w:rPr>
          <w:color w:val="auto"/>
        </w:rPr>
        <w:tab/>
      </w:r>
      <w:r>
        <w:rPr>
          <w:color w:val="auto"/>
        </w:rPr>
        <w:fldChar w:fldCharType="begin"/>
      </w:r>
      <w:r>
        <w:rPr>
          <w:color w:val="auto"/>
        </w:rPr>
        <w:instrText xml:space="preserve"> PAGEREF _Toc6628 \h </w:instrText>
      </w:r>
      <w:r>
        <w:rPr>
          <w:color w:val="auto"/>
        </w:rPr>
        <w:fldChar w:fldCharType="separate"/>
      </w:r>
      <w:r>
        <w:rPr>
          <w:color w:val="auto"/>
        </w:rPr>
        <w:t>2</w:t>
      </w:r>
      <w:r>
        <w:rPr>
          <w:color w:val="auto"/>
        </w:rPr>
        <w:fldChar w:fldCharType="end"/>
      </w:r>
      <w:r>
        <w:rPr>
          <w:rFonts w:hint="default" w:ascii="Times New Roman" w:hAnsi="Times New Roman" w:cs="Times New Roman"/>
          <w:color w:val="auto"/>
        </w:rPr>
        <w:fldChar w:fldCharType="end"/>
      </w:r>
    </w:p>
    <w:p w14:paraId="7B462A71">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_Toc308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eastAsia" w:cs="Times New Roman"/>
          <w:color w:val="auto"/>
          <w:lang w:val="en-US" w:eastAsia="zh-CN"/>
        </w:rPr>
        <w:t>4</w:t>
      </w:r>
      <w:r>
        <w:rPr>
          <w:rFonts w:hint="default" w:ascii="Times New Roman" w:hAnsi="Times New Roman" w:cs="Times New Roman"/>
          <w:color w:val="auto"/>
        </w:rPr>
        <w:t>.2</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行业标准和技术规范</w:t>
      </w:r>
      <w:r>
        <w:rPr>
          <w:color w:val="auto"/>
        </w:rPr>
        <w:tab/>
      </w:r>
      <w:r>
        <w:rPr>
          <w:color w:val="auto"/>
        </w:rPr>
        <w:fldChar w:fldCharType="begin"/>
      </w:r>
      <w:r>
        <w:rPr>
          <w:color w:val="auto"/>
        </w:rPr>
        <w:instrText xml:space="preserve"> PAGEREF _Toc308 \h </w:instrText>
      </w:r>
      <w:r>
        <w:rPr>
          <w:color w:val="auto"/>
        </w:rPr>
        <w:fldChar w:fldCharType="separate"/>
      </w:r>
      <w:r>
        <w:rPr>
          <w:color w:val="auto"/>
        </w:rPr>
        <w:t>3</w:t>
      </w:r>
      <w:r>
        <w:rPr>
          <w:color w:val="auto"/>
        </w:rPr>
        <w:fldChar w:fldCharType="end"/>
      </w:r>
      <w:r>
        <w:rPr>
          <w:rFonts w:hint="default" w:ascii="Times New Roman" w:hAnsi="Times New Roman" w:cs="Times New Roman"/>
          <w:color w:val="auto"/>
        </w:rPr>
        <w:fldChar w:fldCharType="end"/>
      </w:r>
    </w:p>
    <w:p w14:paraId="0847D2C6">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_Toc11227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1.</w:t>
      </w:r>
      <w:r>
        <w:rPr>
          <w:rFonts w:hint="eastAsia" w:cs="Times New Roman"/>
          <w:color w:val="auto"/>
          <w:lang w:val="en-US" w:eastAsia="zh-CN"/>
        </w:rPr>
        <w:t>4</w:t>
      </w:r>
      <w:r>
        <w:rPr>
          <w:rFonts w:hint="default" w:ascii="Times New Roman" w:hAnsi="Times New Roman" w:cs="Times New Roman"/>
          <w:color w:val="auto"/>
          <w:lang w:val="en-US" w:eastAsia="zh-CN"/>
        </w:rPr>
        <w:t>.3 相关规划</w:t>
      </w:r>
      <w:r>
        <w:rPr>
          <w:color w:val="auto"/>
        </w:rPr>
        <w:tab/>
      </w:r>
      <w:r>
        <w:rPr>
          <w:color w:val="auto"/>
        </w:rPr>
        <w:fldChar w:fldCharType="begin"/>
      </w:r>
      <w:r>
        <w:rPr>
          <w:color w:val="auto"/>
        </w:rPr>
        <w:instrText xml:space="preserve"> PAGEREF _Toc11227 \h </w:instrText>
      </w:r>
      <w:r>
        <w:rPr>
          <w:color w:val="auto"/>
        </w:rPr>
        <w:fldChar w:fldCharType="separate"/>
      </w:r>
      <w:r>
        <w:rPr>
          <w:color w:val="auto"/>
        </w:rPr>
        <w:t>3</w:t>
      </w:r>
      <w:r>
        <w:rPr>
          <w:color w:val="auto"/>
        </w:rPr>
        <w:fldChar w:fldCharType="end"/>
      </w:r>
      <w:r>
        <w:rPr>
          <w:rFonts w:hint="default" w:ascii="Times New Roman" w:hAnsi="Times New Roman" w:cs="Times New Roman"/>
          <w:color w:val="auto"/>
        </w:rPr>
        <w:fldChar w:fldCharType="end"/>
      </w:r>
    </w:p>
    <w:p w14:paraId="14EF218B">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_Toc16408 </w:instrText>
      </w:r>
      <w:r>
        <w:rPr>
          <w:rFonts w:hint="default" w:ascii="Times New Roman" w:hAnsi="Times New Roman" w:cs="Times New Roman"/>
          <w:color w:val="auto"/>
        </w:rPr>
        <w:fldChar w:fldCharType="separate"/>
      </w:r>
      <w:r>
        <w:rPr>
          <w:rFonts w:hint="default"/>
          <w:color w:val="auto"/>
          <w:lang w:val="en-US" w:eastAsia="zh-CN"/>
        </w:rPr>
        <w:t>1.</w:t>
      </w:r>
      <w:r>
        <w:rPr>
          <w:rFonts w:hint="eastAsia"/>
          <w:color w:val="auto"/>
          <w:lang w:val="en-US" w:eastAsia="zh-CN"/>
        </w:rPr>
        <w:t>5</w:t>
      </w:r>
      <w:r>
        <w:rPr>
          <w:rFonts w:hint="default"/>
          <w:color w:val="auto"/>
          <w:lang w:val="en-US" w:eastAsia="zh-CN"/>
        </w:rPr>
        <w:t xml:space="preserve"> 规划范围</w:t>
      </w:r>
      <w:r>
        <w:rPr>
          <w:color w:val="auto"/>
        </w:rPr>
        <w:tab/>
      </w:r>
      <w:r>
        <w:rPr>
          <w:color w:val="auto"/>
        </w:rPr>
        <w:fldChar w:fldCharType="begin"/>
      </w:r>
      <w:r>
        <w:rPr>
          <w:color w:val="auto"/>
        </w:rPr>
        <w:instrText xml:space="preserve"> PAGEREF _Toc16408 \h </w:instrText>
      </w:r>
      <w:r>
        <w:rPr>
          <w:color w:val="auto"/>
        </w:rPr>
        <w:fldChar w:fldCharType="separate"/>
      </w:r>
      <w:r>
        <w:rPr>
          <w:color w:val="auto"/>
        </w:rPr>
        <w:t>3</w:t>
      </w:r>
      <w:r>
        <w:rPr>
          <w:color w:val="auto"/>
        </w:rPr>
        <w:fldChar w:fldCharType="end"/>
      </w:r>
      <w:r>
        <w:rPr>
          <w:rFonts w:hint="default" w:ascii="Times New Roman" w:hAnsi="Times New Roman" w:cs="Times New Roman"/>
          <w:color w:val="auto"/>
        </w:rPr>
        <w:fldChar w:fldCharType="end"/>
      </w:r>
    </w:p>
    <w:p w14:paraId="1AF3B354">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_Toc25851 </w:instrText>
      </w:r>
      <w:r>
        <w:rPr>
          <w:rFonts w:hint="default" w:ascii="Times New Roman" w:hAnsi="Times New Roman" w:cs="Times New Roman"/>
          <w:color w:val="auto"/>
        </w:rPr>
        <w:fldChar w:fldCharType="separate"/>
      </w:r>
      <w:r>
        <w:rPr>
          <w:rFonts w:hint="eastAsia"/>
          <w:color w:val="auto"/>
          <w:lang w:val="en-US" w:eastAsia="zh-CN"/>
        </w:rPr>
        <w:t>1.6 规划对象</w:t>
      </w:r>
      <w:r>
        <w:rPr>
          <w:color w:val="auto"/>
        </w:rPr>
        <w:tab/>
      </w:r>
      <w:r>
        <w:rPr>
          <w:color w:val="auto"/>
        </w:rPr>
        <w:fldChar w:fldCharType="begin"/>
      </w:r>
      <w:r>
        <w:rPr>
          <w:color w:val="auto"/>
        </w:rPr>
        <w:instrText xml:space="preserve"> PAGEREF _Toc25851 \h </w:instrText>
      </w:r>
      <w:r>
        <w:rPr>
          <w:color w:val="auto"/>
        </w:rPr>
        <w:fldChar w:fldCharType="separate"/>
      </w:r>
      <w:r>
        <w:rPr>
          <w:color w:val="auto"/>
        </w:rPr>
        <w:t>3</w:t>
      </w:r>
      <w:r>
        <w:rPr>
          <w:color w:val="auto"/>
        </w:rPr>
        <w:fldChar w:fldCharType="end"/>
      </w:r>
      <w:r>
        <w:rPr>
          <w:rFonts w:hint="default" w:ascii="Times New Roman" w:hAnsi="Times New Roman" w:cs="Times New Roman"/>
          <w:color w:val="auto"/>
        </w:rPr>
        <w:fldChar w:fldCharType="end"/>
      </w:r>
    </w:p>
    <w:p w14:paraId="77888EF5">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_Toc14065 </w:instrText>
      </w:r>
      <w:r>
        <w:rPr>
          <w:rFonts w:hint="default" w:ascii="Times New Roman" w:hAnsi="Times New Roman" w:cs="Times New Roman"/>
          <w:color w:val="auto"/>
        </w:rPr>
        <w:fldChar w:fldCharType="separate"/>
      </w:r>
      <w:r>
        <w:rPr>
          <w:rFonts w:hint="default"/>
          <w:color w:val="auto"/>
          <w:lang w:val="en-US" w:eastAsia="zh-CN"/>
        </w:rPr>
        <w:t>1.</w:t>
      </w:r>
      <w:r>
        <w:rPr>
          <w:rFonts w:hint="eastAsia"/>
          <w:color w:val="auto"/>
          <w:lang w:val="en-US" w:eastAsia="zh-CN"/>
        </w:rPr>
        <w:t>7</w:t>
      </w:r>
      <w:r>
        <w:rPr>
          <w:rFonts w:hint="default"/>
          <w:color w:val="auto"/>
          <w:lang w:val="en-US" w:eastAsia="zh-CN"/>
        </w:rPr>
        <w:t xml:space="preserve"> 规划期限</w:t>
      </w:r>
      <w:r>
        <w:rPr>
          <w:color w:val="auto"/>
        </w:rPr>
        <w:tab/>
      </w:r>
      <w:r>
        <w:rPr>
          <w:color w:val="auto"/>
        </w:rPr>
        <w:fldChar w:fldCharType="begin"/>
      </w:r>
      <w:r>
        <w:rPr>
          <w:color w:val="auto"/>
        </w:rPr>
        <w:instrText xml:space="preserve"> PAGEREF _Toc14065 \h </w:instrText>
      </w:r>
      <w:r>
        <w:rPr>
          <w:color w:val="auto"/>
        </w:rPr>
        <w:fldChar w:fldCharType="separate"/>
      </w:r>
      <w:r>
        <w:rPr>
          <w:color w:val="auto"/>
        </w:rPr>
        <w:t>4</w:t>
      </w:r>
      <w:r>
        <w:rPr>
          <w:color w:val="auto"/>
        </w:rPr>
        <w:fldChar w:fldCharType="end"/>
      </w:r>
      <w:r>
        <w:rPr>
          <w:rFonts w:hint="default" w:ascii="Times New Roman" w:hAnsi="Times New Roman" w:cs="Times New Roman"/>
          <w:color w:val="auto"/>
        </w:rPr>
        <w:fldChar w:fldCharType="end"/>
      </w:r>
    </w:p>
    <w:p w14:paraId="4AECA5F5">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_Toc3807 </w:instrText>
      </w:r>
      <w:r>
        <w:rPr>
          <w:rFonts w:hint="default" w:ascii="Times New Roman" w:hAnsi="Times New Roman" w:cs="Times New Roman"/>
          <w:color w:val="auto"/>
        </w:rPr>
        <w:fldChar w:fldCharType="separate"/>
      </w:r>
      <w:r>
        <w:rPr>
          <w:rFonts w:hint="eastAsia" w:ascii="Times New Roman" w:hAnsi="Times New Roman" w:cs="Times New Roman"/>
          <w:color w:val="auto"/>
          <w:lang w:val="en-US" w:eastAsia="zh-CN"/>
        </w:rPr>
        <w:t>第二章 现状分析和规划解读</w:t>
      </w:r>
      <w:r>
        <w:rPr>
          <w:color w:val="auto"/>
        </w:rPr>
        <w:tab/>
      </w:r>
      <w:r>
        <w:rPr>
          <w:color w:val="auto"/>
        </w:rPr>
        <w:fldChar w:fldCharType="begin"/>
      </w:r>
      <w:r>
        <w:rPr>
          <w:color w:val="auto"/>
        </w:rPr>
        <w:instrText xml:space="preserve"> PAGEREF _Toc3807 \h </w:instrText>
      </w:r>
      <w:r>
        <w:rPr>
          <w:color w:val="auto"/>
        </w:rPr>
        <w:fldChar w:fldCharType="separate"/>
      </w:r>
      <w:r>
        <w:rPr>
          <w:color w:val="auto"/>
        </w:rPr>
        <w:t>5</w:t>
      </w:r>
      <w:r>
        <w:rPr>
          <w:color w:val="auto"/>
        </w:rPr>
        <w:fldChar w:fldCharType="end"/>
      </w:r>
      <w:r>
        <w:rPr>
          <w:rFonts w:hint="default" w:ascii="Times New Roman" w:hAnsi="Times New Roman" w:cs="Times New Roman"/>
          <w:color w:val="auto"/>
        </w:rPr>
        <w:fldChar w:fldCharType="end"/>
      </w:r>
    </w:p>
    <w:p w14:paraId="45B3B248">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_Toc11926 </w:instrText>
      </w:r>
      <w:r>
        <w:rPr>
          <w:rFonts w:hint="default" w:ascii="Times New Roman" w:hAnsi="Times New Roman" w:cs="Times New Roman"/>
          <w:color w:val="auto"/>
        </w:rPr>
        <w:fldChar w:fldCharType="separate"/>
      </w:r>
      <w:r>
        <w:rPr>
          <w:rFonts w:hint="eastAsia"/>
          <w:color w:val="auto"/>
          <w:lang w:val="en-US" w:eastAsia="zh-CN"/>
        </w:rPr>
        <w:t>2.1 建筑垃圾治理现状分析</w:t>
      </w:r>
      <w:r>
        <w:rPr>
          <w:color w:val="auto"/>
        </w:rPr>
        <w:tab/>
      </w:r>
      <w:r>
        <w:rPr>
          <w:color w:val="auto"/>
        </w:rPr>
        <w:fldChar w:fldCharType="begin"/>
      </w:r>
      <w:r>
        <w:rPr>
          <w:color w:val="auto"/>
        </w:rPr>
        <w:instrText xml:space="preserve"> PAGEREF _Toc11926 \h </w:instrText>
      </w:r>
      <w:r>
        <w:rPr>
          <w:color w:val="auto"/>
        </w:rPr>
        <w:fldChar w:fldCharType="separate"/>
      </w:r>
      <w:r>
        <w:rPr>
          <w:color w:val="auto"/>
        </w:rPr>
        <w:t>5</w:t>
      </w:r>
      <w:r>
        <w:rPr>
          <w:color w:val="auto"/>
        </w:rPr>
        <w:fldChar w:fldCharType="end"/>
      </w:r>
      <w:r>
        <w:rPr>
          <w:rFonts w:hint="default" w:ascii="Times New Roman" w:hAnsi="Times New Roman" w:cs="Times New Roman"/>
          <w:color w:val="auto"/>
        </w:rPr>
        <w:fldChar w:fldCharType="end"/>
      </w:r>
    </w:p>
    <w:p w14:paraId="101BFF01">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_Toc26139 </w:instrText>
      </w:r>
      <w:r>
        <w:rPr>
          <w:rFonts w:hint="default" w:ascii="Times New Roman" w:hAnsi="Times New Roman" w:cs="Times New Roman"/>
          <w:color w:val="auto"/>
        </w:rPr>
        <w:fldChar w:fldCharType="separate"/>
      </w:r>
      <w:r>
        <w:rPr>
          <w:rFonts w:hint="eastAsia"/>
          <w:color w:val="auto"/>
          <w:lang w:val="en-US" w:eastAsia="zh-CN"/>
        </w:rPr>
        <w:t>2.1.1 基础条件</w:t>
      </w:r>
      <w:r>
        <w:rPr>
          <w:color w:val="auto"/>
        </w:rPr>
        <w:tab/>
      </w:r>
      <w:r>
        <w:rPr>
          <w:color w:val="auto"/>
        </w:rPr>
        <w:fldChar w:fldCharType="begin"/>
      </w:r>
      <w:r>
        <w:rPr>
          <w:color w:val="auto"/>
        </w:rPr>
        <w:instrText xml:space="preserve"> PAGEREF _Toc26139 \h </w:instrText>
      </w:r>
      <w:r>
        <w:rPr>
          <w:color w:val="auto"/>
        </w:rPr>
        <w:fldChar w:fldCharType="separate"/>
      </w:r>
      <w:r>
        <w:rPr>
          <w:color w:val="auto"/>
        </w:rPr>
        <w:t>5</w:t>
      </w:r>
      <w:r>
        <w:rPr>
          <w:color w:val="auto"/>
        </w:rPr>
        <w:fldChar w:fldCharType="end"/>
      </w:r>
      <w:r>
        <w:rPr>
          <w:rFonts w:hint="default" w:ascii="Times New Roman" w:hAnsi="Times New Roman" w:cs="Times New Roman"/>
          <w:color w:val="auto"/>
        </w:rPr>
        <w:fldChar w:fldCharType="end"/>
      </w:r>
    </w:p>
    <w:p w14:paraId="27B7835E">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_Toc5115 </w:instrText>
      </w:r>
      <w:r>
        <w:rPr>
          <w:rFonts w:hint="default" w:ascii="Times New Roman" w:hAnsi="Times New Roman" w:cs="Times New Roman"/>
          <w:color w:val="auto"/>
        </w:rPr>
        <w:fldChar w:fldCharType="separate"/>
      </w:r>
      <w:r>
        <w:rPr>
          <w:rFonts w:hint="eastAsia"/>
          <w:color w:val="auto"/>
          <w:lang w:val="en-US" w:eastAsia="zh-CN"/>
        </w:rPr>
        <w:t>2.1.2 建筑垃圾现状</w:t>
      </w:r>
      <w:r>
        <w:rPr>
          <w:color w:val="auto"/>
        </w:rPr>
        <w:tab/>
      </w:r>
      <w:r>
        <w:rPr>
          <w:color w:val="auto"/>
        </w:rPr>
        <w:fldChar w:fldCharType="begin"/>
      </w:r>
      <w:r>
        <w:rPr>
          <w:color w:val="auto"/>
        </w:rPr>
        <w:instrText xml:space="preserve"> PAGEREF _Toc5115 \h </w:instrText>
      </w:r>
      <w:r>
        <w:rPr>
          <w:color w:val="auto"/>
        </w:rPr>
        <w:fldChar w:fldCharType="separate"/>
      </w:r>
      <w:r>
        <w:rPr>
          <w:color w:val="auto"/>
        </w:rPr>
        <w:t>8</w:t>
      </w:r>
      <w:r>
        <w:rPr>
          <w:color w:val="auto"/>
        </w:rPr>
        <w:fldChar w:fldCharType="end"/>
      </w:r>
      <w:r>
        <w:rPr>
          <w:rFonts w:hint="default" w:ascii="Times New Roman" w:hAnsi="Times New Roman" w:cs="Times New Roman"/>
          <w:color w:val="auto"/>
        </w:rPr>
        <w:fldChar w:fldCharType="end"/>
      </w:r>
    </w:p>
    <w:p w14:paraId="4E6D711F">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_Toc961 </w:instrText>
      </w:r>
      <w:r>
        <w:rPr>
          <w:rFonts w:hint="default" w:ascii="Times New Roman" w:hAnsi="Times New Roman" w:cs="Times New Roman"/>
          <w:color w:val="auto"/>
        </w:rPr>
        <w:fldChar w:fldCharType="separate"/>
      </w:r>
      <w:r>
        <w:rPr>
          <w:rFonts w:hint="eastAsia"/>
          <w:color w:val="auto"/>
          <w:lang w:val="en-US" w:eastAsia="zh-CN"/>
        </w:rPr>
        <w:t>2.1.3 建筑垃圾存在问题分析</w:t>
      </w:r>
      <w:r>
        <w:rPr>
          <w:color w:val="auto"/>
        </w:rPr>
        <w:tab/>
      </w:r>
      <w:r>
        <w:rPr>
          <w:color w:val="auto"/>
        </w:rPr>
        <w:fldChar w:fldCharType="begin"/>
      </w:r>
      <w:r>
        <w:rPr>
          <w:color w:val="auto"/>
        </w:rPr>
        <w:instrText xml:space="preserve"> PAGEREF _Toc961 \h </w:instrText>
      </w:r>
      <w:r>
        <w:rPr>
          <w:color w:val="auto"/>
        </w:rPr>
        <w:fldChar w:fldCharType="separate"/>
      </w:r>
      <w:r>
        <w:rPr>
          <w:color w:val="auto"/>
        </w:rPr>
        <w:t>8</w:t>
      </w:r>
      <w:r>
        <w:rPr>
          <w:color w:val="auto"/>
        </w:rPr>
        <w:fldChar w:fldCharType="end"/>
      </w:r>
      <w:r>
        <w:rPr>
          <w:rFonts w:hint="default" w:ascii="Times New Roman" w:hAnsi="Times New Roman" w:cs="Times New Roman"/>
          <w:color w:val="auto"/>
        </w:rPr>
        <w:fldChar w:fldCharType="end"/>
      </w:r>
    </w:p>
    <w:p w14:paraId="6AF8286F">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_Toc9262 </w:instrText>
      </w:r>
      <w:r>
        <w:rPr>
          <w:rFonts w:hint="default" w:ascii="Times New Roman" w:hAnsi="Times New Roman" w:cs="Times New Roman"/>
          <w:color w:val="auto"/>
        </w:rPr>
        <w:fldChar w:fldCharType="separate"/>
      </w:r>
      <w:r>
        <w:rPr>
          <w:rFonts w:hint="eastAsia"/>
          <w:color w:val="auto"/>
          <w:lang w:val="en-US" w:eastAsia="zh-CN"/>
        </w:rPr>
        <w:t>2.2 相关规划解读</w:t>
      </w:r>
      <w:r>
        <w:rPr>
          <w:color w:val="auto"/>
        </w:rPr>
        <w:tab/>
      </w:r>
      <w:r>
        <w:rPr>
          <w:color w:val="auto"/>
        </w:rPr>
        <w:fldChar w:fldCharType="begin"/>
      </w:r>
      <w:r>
        <w:rPr>
          <w:color w:val="auto"/>
        </w:rPr>
        <w:instrText xml:space="preserve"> PAGEREF _Toc9262 \h </w:instrText>
      </w:r>
      <w:r>
        <w:rPr>
          <w:color w:val="auto"/>
        </w:rPr>
        <w:fldChar w:fldCharType="separate"/>
      </w:r>
      <w:r>
        <w:rPr>
          <w:color w:val="auto"/>
        </w:rPr>
        <w:t>9</w:t>
      </w:r>
      <w:r>
        <w:rPr>
          <w:color w:val="auto"/>
        </w:rPr>
        <w:fldChar w:fldCharType="end"/>
      </w:r>
      <w:r>
        <w:rPr>
          <w:rFonts w:hint="default" w:ascii="Times New Roman" w:hAnsi="Times New Roman" w:cs="Times New Roman"/>
          <w:color w:val="auto"/>
        </w:rPr>
        <w:fldChar w:fldCharType="end"/>
      </w:r>
    </w:p>
    <w:p w14:paraId="7006691D">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_Toc8158 </w:instrText>
      </w:r>
      <w:r>
        <w:rPr>
          <w:rFonts w:hint="default" w:ascii="Times New Roman" w:hAnsi="Times New Roman" w:cs="Times New Roman"/>
          <w:color w:val="auto"/>
        </w:rPr>
        <w:fldChar w:fldCharType="separate"/>
      </w:r>
      <w:r>
        <w:rPr>
          <w:rFonts w:hint="default" w:ascii="Times New Roman" w:hAnsi="Times New Roman" w:cs="Times New Roman"/>
          <w:color w:val="auto"/>
        </w:rPr>
        <w:t>第</w:t>
      </w:r>
      <w:r>
        <w:rPr>
          <w:rFonts w:hint="eastAsia" w:cs="Times New Roman"/>
          <w:color w:val="auto"/>
          <w:lang w:val="en-US" w:eastAsia="zh-CN"/>
        </w:rPr>
        <w:t>三</w:t>
      </w:r>
      <w:r>
        <w:rPr>
          <w:rFonts w:hint="default" w:ascii="Times New Roman" w:hAnsi="Times New Roman" w:cs="Times New Roman"/>
          <w:color w:val="auto"/>
        </w:rPr>
        <w:t xml:space="preserve">章 </w:t>
      </w:r>
      <w:r>
        <w:rPr>
          <w:rFonts w:hint="eastAsia" w:cs="Times New Roman"/>
          <w:color w:val="auto"/>
          <w:lang w:val="en-US" w:eastAsia="zh-CN"/>
        </w:rPr>
        <w:t>规划目标</w:t>
      </w:r>
      <w:r>
        <w:rPr>
          <w:color w:val="auto"/>
        </w:rPr>
        <w:tab/>
      </w:r>
      <w:r>
        <w:rPr>
          <w:color w:val="auto"/>
        </w:rPr>
        <w:fldChar w:fldCharType="begin"/>
      </w:r>
      <w:r>
        <w:rPr>
          <w:color w:val="auto"/>
        </w:rPr>
        <w:instrText xml:space="preserve"> PAGEREF _Toc8158 \h </w:instrText>
      </w:r>
      <w:r>
        <w:rPr>
          <w:color w:val="auto"/>
        </w:rPr>
        <w:fldChar w:fldCharType="separate"/>
      </w:r>
      <w:r>
        <w:rPr>
          <w:color w:val="auto"/>
        </w:rPr>
        <w:t>11</w:t>
      </w:r>
      <w:r>
        <w:rPr>
          <w:color w:val="auto"/>
        </w:rPr>
        <w:fldChar w:fldCharType="end"/>
      </w:r>
      <w:r>
        <w:rPr>
          <w:rFonts w:hint="default" w:ascii="Times New Roman" w:hAnsi="Times New Roman" w:cs="Times New Roman"/>
          <w:color w:val="auto"/>
        </w:rPr>
        <w:fldChar w:fldCharType="end"/>
      </w:r>
    </w:p>
    <w:p w14:paraId="4511131B">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_Toc20821 </w:instrText>
      </w:r>
      <w:r>
        <w:rPr>
          <w:rFonts w:hint="default" w:ascii="Times New Roman" w:hAnsi="Times New Roman" w:cs="Times New Roman"/>
          <w:color w:val="auto"/>
        </w:rPr>
        <w:fldChar w:fldCharType="separate"/>
      </w:r>
      <w:r>
        <w:rPr>
          <w:rFonts w:hint="eastAsia"/>
          <w:color w:val="auto"/>
          <w:lang w:val="en-US" w:eastAsia="zh-CN"/>
        </w:rPr>
        <w:t>3</w:t>
      </w:r>
      <w:r>
        <w:rPr>
          <w:rFonts w:hint="default"/>
          <w:color w:val="auto"/>
        </w:rPr>
        <w:t>.1</w:t>
      </w:r>
      <w:r>
        <w:rPr>
          <w:rFonts w:hint="default"/>
          <w:color w:val="auto"/>
          <w:lang w:val="en-US" w:eastAsia="zh-CN"/>
        </w:rPr>
        <w:t xml:space="preserve"> </w:t>
      </w:r>
      <w:r>
        <w:rPr>
          <w:rFonts w:hint="eastAsia"/>
          <w:color w:val="auto"/>
          <w:lang w:val="en-US" w:eastAsia="zh-CN"/>
        </w:rPr>
        <w:t>总体目标</w:t>
      </w:r>
      <w:r>
        <w:rPr>
          <w:color w:val="auto"/>
        </w:rPr>
        <w:tab/>
      </w:r>
      <w:r>
        <w:rPr>
          <w:color w:val="auto"/>
        </w:rPr>
        <w:fldChar w:fldCharType="begin"/>
      </w:r>
      <w:r>
        <w:rPr>
          <w:color w:val="auto"/>
        </w:rPr>
        <w:instrText xml:space="preserve"> PAGEREF _Toc20821 \h </w:instrText>
      </w:r>
      <w:r>
        <w:rPr>
          <w:color w:val="auto"/>
        </w:rPr>
        <w:fldChar w:fldCharType="separate"/>
      </w:r>
      <w:r>
        <w:rPr>
          <w:color w:val="auto"/>
        </w:rPr>
        <w:t>11</w:t>
      </w:r>
      <w:r>
        <w:rPr>
          <w:color w:val="auto"/>
        </w:rPr>
        <w:fldChar w:fldCharType="end"/>
      </w:r>
      <w:r>
        <w:rPr>
          <w:rFonts w:hint="default" w:ascii="Times New Roman" w:hAnsi="Times New Roman" w:cs="Times New Roman"/>
          <w:color w:val="auto"/>
        </w:rPr>
        <w:fldChar w:fldCharType="end"/>
      </w:r>
    </w:p>
    <w:p w14:paraId="504A7E2F">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_Toc23817 </w:instrText>
      </w:r>
      <w:r>
        <w:rPr>
          <w:rFonts w:hint="default" w:ascii="Times New Roman" w:hAnsi="Times New Roman" w:cs="Times New Roman"/>
          <w:color w:val="auto"/>
        </w:rPr>
        <w:fldChar w:fldCharType="separate"/>
      </w:r>
      <w:r>
        <w:rPr>
          <w:rFonts w:hint="eastAsia"/>
          <w:color w:val="auto"/>
          <w:lang w:val="en-US" w:eastAsia="zh-CN"/>
        </w:rPr>
        <w:t>3.2 分期目标</w:t>
      </w:r>
      <w:r>
        <w:rPr>
          <w:color w:val="auto"/>
        </w:rPr>
        <w:tab/>
      </w:r>
      <w:r>
        <w:rPr>
          <w:color w:val="auto"/>
        </w:rPr>
        <w:fldChar w:fldCharType="begin"/>
      </w:r>
      <w:r>
        <w:rPr>
          <w:color w:val="auto"/>
        </w:rPr>
        <w:instrText xml:space="preserve"> PAGEREF _Toc23817 \h </w:instrText>
      </w:r>
      <w:r>
        <w:rPr>
          <w:color w:val="auto"/>
        </w:rPr>
        <w:fldChar w:fldCharType="separate"/>
      </w:r>
      <w:r>
        <w:rPr>
          <w:color w:val="auto"/>
        </w:rPr>
        <w:t>11</w:t>
      </w:r>
      <w:r>
        <w:rPr>
          <w:color w:val="auto"/>
        </w:rPr>
        <w:fldChar w:fldCharType="end"/>
      </w:r>
      <w:r>
        <w:rPr>
          <w:rFonts w:hint="default" w:ascii="Times New Roman" w:hAnsi="Times New Roman" w:cs="Times New Roman"/>
          <w:color w:val="auto"/>
        </w:rPr>
        <w:fldChar w:fldCharType="end"/>
      </w:r>
    </w:p>
    <w:p w14:paraId="352907DA">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_Toc28817 </w:instrText>
      </w:r>
      <w:r>
        <w:rPr>
          <w:rFonts w:hint="default" w:ascii="Times New Roman" w:hAnsi="Times New Roman" w:cs="Times New Roman"/>
          <w:color w:val="auto"/>
        </w:rPr>
        <w:fldChar w:fldCharType="separate"/>
      </w:r>
      <w:r>
        <w:rPr>
          <w:rFonts w:hint="eastAsia"/>
          <w:color w:val="auto"/>
          <w:lang w:val="en-US" w:eastAsia="zh-CN"/>
        </w:rPr>
        <w:t>3.2.1 近期目标（2024—2030年）</w:t>
      </w:r>
      <w:r>
        <w:rPr>
          <w:color w:val="auto"/>
        </w:rPr>
        <w:tab/>
      </w:r>
      <w:r>
        <w:rPr>
          <w:color w:val="auto"/>
        </w:rPr>
        <w:fldChar w:fldCharType="begin"/>
      </w:r>
      <w:r>
        <w:rPr>
          <w:color w:val="auto"/>
        </w:rPr>
        <w:instrText xml:space="preserve"> PAGEREF _Toc28817 \h </w:instrText>
      </w:r>
      <w:r>
        <w:rPr>
          <w:color w:val="auto"/>
        </w:rPr>
        <w:fldChar w:fldCharType="separate"/>
      </w:r>
      <w:r>
        <w:rPr>
          <w:color w:val="auto"/>
        </w:rPr>
        <w:t>11</w:t>
      </w:r>
      <w:r>
        <w:rPr>
          <w:color w:val="auto"/>
        </w:rPr>
        <w:fldChar w:fldCharType="end"/>
      </w:r>
      <w:r>
        <w:rPr>
          <w:rFonts w:hint="default" w:ascii="Times New Roman" w:hAnsi="Times New Roman" w:cs="Times New Roman"/>
          <w:color w:val="auto"/>
        </w:rPr>
        <w:fldChar w:fldCharType="end"/>
      </w:r>
    </w:p>
    <w:p w14:paraId="3D0A750C">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_Toc3387 </w:instrText>
      </w:r>
      <w:r>
        <w:rPr>
          <w:rFonts w:hint="default" w:ascii="Times New Roman" w:hAnsi="Times New Roman" w:cs="Times New Roman"/>
          <w:color w:val="auto"/>
        </w:rPr>
        <w:fldChar w:fldCharType="separate"/>
      </w:r>
      <w:r>
        <w:rPr>
          <w:rFonts w:hint="eastAsia"/>
          <w:color w:val="auto"/>
          <w:lang w:val="en-US" w:eastAsia="zh-CN"/>
        </w:rPr>
        <w:t>3.2.2 远期目标（2031—2035年）</w:t>
      </w:r>
      <w:r>
        <w:rPr>
          <w:color w:val="auto"/>
        </w:rPr>
        <w:tab/>
      </w:r>
      <w:r>
        <w:rPr>
          <w:color w:val="auto"/>
        </w:rPr>
        <w:fldChar w:fldCharType="begin"/>
      </w:r>
      <w:r>
        <w:rPr>
          <w:color w:val="auto"/>
        </w:rPr>
        <w:instrText xml:space="preserve"> PAGEREF _Toc3387 \h </w:instrText>
      </w:r>
      <w:r>
        <w:rPr>
          <w:color w:val="auto"/>
        </w:rPr>
        <w:fldChar w:fldCharType="separate"/>
      </w:r>
      <w:r>
        <w:rPr>
          <w:color w:val="auto"/>
        </w:rPr>
        <w:t>11</w:t>
      </w:r>
      <w:r>
        <w:rPr>
          <w:color w:val="auto"/>
        </w:rPr>
        <w:fldChar w:fldCharType="end"/>
      </w:r>
      <w:r>
        <w:rPr>
          <w:rFonts w:hint="default" w:ascii="Times New Roman" w:hAnsi="Times New Roman" w:cs="Times New Roman"/>
          <w:color w:val="auto"/>
        </w:rPr>
        <w:fldChar w:fldCharType="end"/>
      </w:r>
    </w:p>
    <w:p w14:paraId="11C10034">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_Toc32747 </w:instrText>
      </w:r>
      <w:r>
        <w:rPr>
          <w:rFonts w:hint="default" w:ascii="Times New Roman" w:hAnsi="Times New Roman" w:cs="Times New Roman"/>
          <w:color w:val="auto"/>
        </w:rPr>
        <w:fldChar w:fldCharType="separate"/>
      </w:r>
      <w:r>
        <w:rPr>
          <w:rFonts w:hint="eastAsia"/>
          <w:color w:val="auto"/>
          <w:lang w:val="en-US" w:eastAsia="zh-CN"/>
        </w:rPr>
        <w:t>3.3 规划指标体系</w:t>
      </w:r>
      <w:r>
        <w:rPr>
          <w:color w:val="auto"/>
        </w:rPr>
        <w:tab/>
      </w:r>
      <w:r>
        <w:rPr>
          <w:color w:val="auto"/>
        </w:rPr>
        <w:fldChar w:fldCharType="begin"/>
      </w:r>
      <w:r>
        <w:rPr>
          <w:color w:val="auto"/>
        </w:rPr>
        <w:instrText xml:space="preserve"> PAGEREF _Toc32747 \h </w:instrText>
      </w:r>
      <w:r>
        <w:rPr>
          <w:color w:val="auto"/>
        </w:rPr>
        <w:fldChar w:fldCharType="separate"/>
      </w:r>
      <w:r>
        <w:rPr>
          <w:color w:val="auto"/>
        </w:rPr>
        <w:t>11</w:t>
      </w:r>
      <w:r>
        <w:rPr>
          <w:color w:val="auto"/>
        </w:rPr>
        <w:fldChar w:fldCharType="end"/>
      </w:r>
      <w:r>
        <w:rPr>
          <w:rFonts w:hint="default" w:ascii="Times New Roman" w:hAnsi="Times New Roman" w:cs="Times New Roman"/>
          <w:color w:val="auto"/>
        </w:rPr>
        <w:fldChar w:fldCharType="end"/>
      </w:r>
    </w:p>
    <w:p w14:paraId="1AC3E58F">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_Toc8833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第</w:t>
      </w:r>
      <w:r>
        <w:rPr>
          <w:rFonts w:hint="eastAsia" w:cs="Times New Roman"/>
          <w:color w:val="auto"/>
          <w:lang w:val="en-US" w:eastAsia="zh-CN"/>
        </w:rPr>
        <w:t>四</w:t>
      </w:r>
      <w:r>
        <w:rPr>
          <w:rFonts w:hint="default" w:ascii="Times New Roman" w:hAnsi="Times New Roman" w:cs="Times New Roman"/>
          <w:color w:val="auto"/>
          <w:lang w:val="en-US" w:eastAsia="zh-CN"/>
        </w:rPr>
        <w:t xml:space="preserve">章 </w:t>
      </w:r>
      <w:r>
        <w:rPr>
          <w:rFonts w:hint="eastAsia" w:cs="Times New Roman"/>
          <w:color w:val="auto"/>
          <w:lang w:val="en-US" w:eastAsia="zh-CN"/>
        </w:rPr>
        <w:t>规模预测</w:t>
      </w:r>
      <w:r>
        <w:rPr>
          <w:color w:val="auto"/>
        </w:rPr>
        <w:tab/>
      </w:r>
      <w:r>
        <w:rPr>
          <w:color w:val="auto"/>
        </w:rPr>
        <w:fldChar w:fldCharType="begin"/>
      </w:r>
      <w:r>
        <w:rPr>
          <w:color w:val="auto"/>
        </w:rPr>
        <w:instrText xml:space="preserve"> PAGEREF _Toc8833 \h </w:instrText>
      </w:r>
      <w:r>
        <w:rPr>
          <w:color w:val="auto"/>
        </w:rPr>
        <w:fldChar w:fldCharType="separate"/>
      </w:r>
      <w:r>
        <w:rPr>
          <w:color w:val="auto"/>
        </w:rPr>
        <w:t>12</w:t>
      </w:r>
      <w:r>
        <w:rPr>
          <w:color w:val="auto"/>
        </w:rPr>
        <w:fldChar w:fldCharType="end"/>
      </w:r>
      <w:r>
        <w:rPr>
          <w:rFonts w:hint="default" w:ascii="Times New Roman" w:hAnsi="Times New Roman" w:cs="Times New Roman"/>
          <w:color w:val="auto"/>
        </w:rPr>
        <w:fldChar w:fldCharType="end"/>
      </w:r>
    </w:p>
    <w:p w14:paraId="12E63ECD">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_Toc3257 </w:instrText>
      </w:r>
      <w:r>
        <w:rPr>
          <w:rFonts w:hint="default" w:ascii="Times New Roman" w:hAnsi="Times New Roman" w:cs="Times New Roman"/>
          <w:color w:val="auto"/>
        </w:rPr>
        <w:fldChar w:fldCharType="separate"/>
      </w:r>
      <w:r>
        <w:rPr>
          <w:rFonts w:hint="eastAsia"/>
          <w:color w:val="auto"/>
          <w:lang w:val="en-US" w:eastAsia="zh-CN"/>
        </w:rPr>
        <w:t>4.1 建筑垃圾产生量预测</w:t>
      </w:r>
      <w:r>
        <w:rPr>
          <w:color w:val="auto"/>
        </w:rPr>
        <w:tab/>
      </w:r>
      <w:r>
        <w:rPr>
          <w:color w:val="auto"/>
        </w:rPr>
        <w:fldChar w:fldCharType="begin"/>
      </w:r>
      <w:r>
        <w:rPr>
          <w:color w:val="auto"/>
        </w:rPr>
        <w:instrText xml:space="preserve"> PAGEREF _Toc3257 \h </w:instrText>
      </w:r>
      <w:r>
        <w:rPr>
          <w:color w:val="auto"/>
        </w:rPr>
        <w:fldChar w:fldCharType="separate"/>
      </w:r>
      <w:r>
        <w:rPr>
          <w:color w:val="auto"/>
        </w:rPr>
        <w:t>12</w:t>
      </w:r>
      <w:r>
        <w:rPr>
          <w:color w:val="auto"/>
        </w:rPr>
        <w:fldChar w:fldCharType="end"/>
      </w:r>
      <w:r>
        <w:rPr>
          <w:rFonts w:hint="default" w:ascii="Times New Roman" w:hAnsi="Times New Roman" w:cs="Times New Roman"/>
          <w:color w:val="auto"/>
        </w:rPr>
        <w:fldChar w:fldCharType="end"/>
      </w:r>
    </w:p>
    <w:p w14:paraId="3C595D96">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_Toc21079 </w:instrText>
      </w:r>
      <w:r>
        <w:rPr>
          <w:rFonts w:hint="default" w:ascii="Times New Roman" w:hAnsi="Times New Roman" w:cs="Times New Roman"/>
          <w:color w:val="auto"/>
        </w:rPr>
        <w:fldChar w:fldCharType="separate"/>
      </w:r>
      <w:r>
        <w:rPr>
          <w:rFonts w:hint="eastAsia"/>
          <w:color w:val="auto"/>
          <w:lang w:val="en-US" w:eastAsia="zh-CN"/>
        </w:rPr>
        <w:t>4.1.1 工程渣土及泥浆预测</w:t>
      </w:r>
      <w:r>
        <w:rPr>
          <w:color w:val="auto"/>
        </w:rPr>
        <w:tab/>
      </w:r>
      <w:r>
        <w:rPr>
          <w:color w:val="auto"/>
        </w:rPr>
        <w:fldChar w:fldCharType="begin"/>
      </w:r>
      <w:r>
        <w:rPr>
          <w:color w:val="auto"/>
        </w:rPr>
        <w:instrText xml:space="preserve"> PAGEREF _Toc21079 \h </w:instrText>
      </w:r>
      <w:r>
        <w:rPr>
          <w:color w:val="auto"/>
        </w:rPr>
        <w:fldChar w:fldCharType="separate"/>
      </w:r>
      <w:r>
        <w:rPr>
          <w:color w:val="auto"/>
        </w:rPr>
        <w:t>12</w:t>
      </w:r>
      <w:r>
        <w:rPr>
          <w:color w:val="auto"/>
        </w:rPr>
        <w:fldChar w:fldCharType="end"/>
      </w:r>
      <w:r>
        <w:rPr>
          <w:rFonts w:hint="default" w:ascii="Times New Roman" w:hAnsi="Times New Roman" w:cs="Times New Roman"/>
          <w:color w:val="auto"/>
        </w:rPr>
        <w:fldChar w:fldCharType="end"/>
      </w:r>
    </w:p>
    <w:p w14:paraId="78FC25E5">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_Toc17947 </w:instrText>
      </w:r>
      <w:r>
        <w:rPr>
          <w:rFonts w:hint="default" w:ascii="Times New Roman" w:hAnsi="Times New Roman" w:cs="Times New Roman"/>
          <w:color w:val="auto"/>
        </w:rPr>
        <w:fldChar w:fldCharType="separate"/>
      </w:r>
      <w:r>
        <w:rPr>
          <w:rFonts w:hint="eastAsia"/>
          <w:color w:val="auto"/>
          <w:lang w:val="en-US" w:eastAsia="zh-CN"/>
        </w:rPr>
        <w:t>4.1.2 工程垃圾预测</w:t>
      </w:r>
      <w:r>
        <w:rPr>
          <w:color w:val="auto"/>
        </w:rPr>
        <w:tab/>
      </w:r>
      <w:r>
        <w:rPr>
          <w:color w:val="auto"/>
        </w:rPr>
        <w:fldChar w:fldCharType="begin"/>
      </w:r>
      <w:r>
        <w:rPr>
          <w:color w:val="auto"/>
        </w:rPr>
        <w:instrText xml:space="preserve"> PAGEREF _Toc17947 \h </w:instrText>
      </w:r>
      <w:r>
        <w:rPr>
          <w:color w:val="auto"/>
        </w:rPr>
        <w:fldChar w:fldCharType="separate"/>
      </w:r>
      <w:r>
        <w:rPr>
          <w:color w:val="auto"/>
        </w:rPr>
        <w:t>12</w:t>
      </w:r>
      <w:r>
        <w:rPr>
          <w:color w:val="auto"/>
        </w:rPr>
        <w:fldChar w:fldCharType="end"/>
      </w:r>
      <w:r>
        <w:rPr>
          <w:rFonts w:hint="default" w:ascii="Times New Roman" w:hAnsi="Times New Roman" w:cs="Times New Roman"/>
          <w:color w:val="auto"/>
        </w:rPr>
        <w:fldChar w:fldCharType="end"/>
      </w:r>
    </w:p>
    <w:p w14:paraId="178AB68C">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_Toc26786 </w:instrText>
      </w:r>
      <w:r>
        <w:rPr>
          <w:rFonts w:hint="default" w:ascii="Times New Roman" w:hAnsi="Times New Roman" w:cs="Times New Roman"/>
          <w:color w:val="auto"/>
        </w:rPr>
        <w:fldChar w:fldCharType="separate"/>
      </w:r>
      <w:r>
        <w:rPr>
          <w:rFonts w:hint="eastAsia"/>
          <w:color w:val="auto"/>
          <w:lang w:val="en-US" w:eastAsia="zh-CN"/>
        </w:rPr>
        <w:t>4.1.3 拆除垃圾预测</w:t>
      </w:r>
      <w:r>
        <w:rPr>
          <w:color w:val="auto"/>
        </w:rPr>
        <w:tab/>
      </w:r>
      <w:r>
        <w:rPr>
          <w:color w:val="auto"/>
        </w:rPr>
        <w:fldChar w:fldCharType="begin"/>
      </w:r>
      <w:r>
        <w:rPr>
          <w:color w:val="auto"/>
        </w:rPr>
        <w:instrText xml:space="preserve"> PAGEREF _Toc26786 \h </w:instrText>
      </w:r>
      <w:r>
        <w:rPr>
          <w:color w:val="auto"/>
        </w:rPr>
        <w:fldChar w:fldCharType="separate"/>
      </w:r>
      <w:r>
        <w:rPr>
          <w:color w:val="auto"/>
        </w:rPr>
        <w:t>12</w:t>
      </w:r>
      <w:r>
        <w:rPr>
          <w:color w:val="auto"/>
        </w:rPr>
        <w:fldChar w:fldCharType="end"/>
      </w:r>
      <w:r>
        <w:rPr>
          <w:rFonts w:hint="default" w:ascii="Times New Roman" w:hAnsi="Times New Roman" w:cs="Times New Roman"/>
          <w:color w:val="auto"/>
        </w:rPr>
        <w:fldChar w:fldCharType="end"/>
      </w:r>
    </w:p>
    <w:p w14:paraId="4E1732EF">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_Toc25735 </w:instrText>
      </w:r>
      <w:r>
        <w:rPr>
          <w:rFonts w:hint="default" w:ascii="Times New Roman" w:hAnsi="Times New Roman" w:cs="Times New Roman"/>
          <w:color w:val="auto"/>
        </w:rPr>
        <w:fldChar w:fldCharType="separate"/>
      </w:r>
      <w:r>
        <w:rPr>
          <w:rFonts w:hint="eastAsia"/>
          <w:color w:val="auto"/>
          <w:lang w:val="en-US" w:eastAsia="zh-CN"/>
        </w:rPr>
        <w:t>4.1.4 装修垃圾预测</w:t>
      </w:r>
      <w:r>
        <w:rPr>
          <w:color w:val="auto"/>
        </w:rPr>
        <w:tab/>
      </w:r>
      <w:r>
        <w:rPr>
          <w:color w:val="auto"/>
        </w:rPr>
        <w:fldChar w:fldCharType="begin"/>
      </w:r>
      <w:r>
        <w:rPr>
          <w:color w:val="auto"/>
        </w:rPr>
        <w:instrText xml:space="preserve"> PAGEREF _Toc25735 \h </w:instrText>
      </w:r>
      <w:r>
        <w:rPr>
          <w:color w:val="auto"/>
        </w:rPr>
        <w:fldChar w:fldCharType="separate"/>
      </w:r>
      <w:r>
        <w:rPr>
          <w:color w:val="auto"/>
        </w:rPr>
        <w:t>13</w:t>
      </w:r>
      <w:r>
        <w:rPr>
          <w:color w:val="auto"/>
        </w:rPr>
        <w:fldChar w:fldCharType="end"/>
      </w:r>
      <w:r>
        <w:rPr>
          <w:rFonts w:hint="default" w:ascii="Times New Roman" w:hAnsi="Times New Roman" w:cs="Times New Roman"/>
          <w:color w:val="auto"/>
        </w:rPr>
        <w:fldChar w:fldCharType="end"/>
      </w:r>
    </w:p>
    <w:p w14:paraId="3073112B">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_Toc28574 </w:instrText>
      </w:r>
      <w:r>
        <w:rPr>
          <w:rFonts w:hint="default" w:ascii="Times New Roman" w:hAnsi="Times New Roman" w:cs="Times New Roman"/>
          <w:color w:val="auto"/>
        </w:rPr>
        <w:fldChar w:fldCharType="separate"/>
      </w:r>
      <w:r>
        <w:rPr>
          <w:rFonts w:hint="eastAsia"/>
          <w:color w:val="auto"/>
          <w:lang w:val="en-US" w:eastAsia="zh-CN"/>
        </w:rPr>
        <w:t>4.1.5 小结</w:t>
      </w:r>
      <w:r>
        <w:rPr>
          <w:color w:val="auto"/>
        </w:rPr>
        <w:tab/>
      </w:r>
      <w:r>
        <w:rPr>
          <w:color w:val="auto"/>
        </w:rPr>
        <w:fldChar w:fldCharType="begin"/>
      </w:r>
      <w:r>
        <w:rPr>
          <w:color w:val="auto"/>
        </w:rPr>
        <w:instrText xml:space="preserve"> PAGEREF _Toc28574 \h </w:instrText>
      </w:r>
      <w:r>
        <w:rPr>
          <w:color w:val="auto"/>
        </w:rPr>
        <w:fldChar w:fldCharType="separate"/>
      </w:r>
      <w:r>
        <w:rPr>
          <w:color w:val="auto"/>
        </w:rPr>
        <w:t>13</w:t>
      </w:r>
      <w:r>
        <w:rPr>
          <w:color w:val="auto"/>
        </w:rPr>
        <w:fldChar w:fldCharType="end"/>
      </w:r>
      <w:r>
        <w:rPr>
          <w:rFonts w:hint="default" w:ascii="Times New Roman" w:hAnsi="Times New Roman" w:cs="Times New Roman"/>
          <w:color w:val="auto"/>
        </w:rPr>
        <w:fldChar w:fldCharType="end"/>
      </w:r>
    </w:p>
    <w:p w14:paraId="2F9D16D9">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_Toc5748 </w:instrText>
      </w:r>
      <w:r>
        <w:rPr>
          <w:rFonts w:hint="default" w:ascii="Times New Roman" w:hAnsi="Times New Roman" w:cs="Times New Roman"/>
          <w:color w:val="auto"/>
        </w:rPr>
        <w:fldChar w:fldCharType="separate"/>
      </w:r>
      <w:r>
        <w:rPr>
          <w:rFonts w:hint="eastAsia"/>
          <w:color w:val="auto"/>
          <w:lang w:val="en-US" w:eastAsia="zh-CN"/>
        </w:rPr>
        <w:t>4.2 建筑垃圾利用和处置规模预测</w:t>
      </w:r>
      <w:r>
        <w:rPr>
          <w:color w:val="auto"/>
        </w:rPr>
        <w:tab/>
      </w:r>
      <w:r>
        <w:rPr>
          <w:color w:val="auto"/>
        </w:rPr>
        <w:fldChar w:fldCharType="begin"/>
      </w:r>
      <w:r>
        <w:rPr>
          <w:color w:val="auto"/>
        </w:rPr>
        <w:instrText xml:space="preserve"> PAGEREF _Toc5748 \h </w:instrText>
      </w:r>
      <w:r>
        <w:rPr>
          <w:color w:val="auto"/>
        </w:rPr>
        <w:fldChar w:fldCharType="separate"/>
      </w:r>
      <w:r>
        <w:rPr>
          <w:color w:val="auto"/>
        </w:rPr>
        <w:t>13</w:t>
      </w:r>
      <w:r>
        <w:rPr>
          <w:color w:val="auto"/>
        </w:rPr>
        <w:fldChar w:fldCharType="end"/>
      </w:r>
      <w:r>
        <w:rPr>
          <w:rFonts w:hint="default" w:ascii="Times New Roman" w:hAnsi="Times New Roman" w:cs="Times New Roman"/>
          <w:color w:val="auto"/>
        </w:rPr>
        <w:fldChar w:fldCharType="end"/>
      </w:r>
    </w:p>
    <w:p w14:paraId="5B82BEE5">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_Toc15436 </w:instrText>
      </w:r>
      <w:r>
        <w:rPr>
          <w:rFonts w:hint="default" w:ascii="Times New Roman" w:hAnsi="Times New Roman" w:cs="Times New Roman"/>
          <w:color w:val="auto"/>
        </w:rPr>
        <w:fldChar w:fldCharType="separate"/>
      </w:r>
      <w:r>
        <w:rPr>
          <w:rFonts w:hint="default"/>
          <w:color w:val="auto"/>
          <w:lang w:val="en-US" w:eastAsia="zh-CN"/>
        </w:rPr>
        <w:t>第</w:t>
      </w:r>
      <w:r>
        <w:rPr>
          <w:rFonts w:hint="eastAsia"/>
          <w:color w:val="auto"/>
          <w:lang w:val="en-US" w:eastAsia="zh-CN"/>
        </w:rPr>
        <w:t>五</w:t>
      </w:r>
      <w:r>
        <w:rPr>
          <w:rFonts w:hint="default"/>
          <w:color w:val="auto"/>
          <w:lang w:val="en-US" w:eastAsia="zh-CN"/>
        </w:rPr>
        <w:t xml:space="preserve">章 </w:t>
      </w:r>
      <w:r>
        <w:rPr>
          <w:rFonts w:hint="eastAsia"/>
          <w:color w:val="auto"/>
          <w:lang w:val="en-US" w:eastAsia="zh-CN"/>
        </w:rPr>
        <w:t>建筑垃圾源头减量规划</w:t>
      </w:r>
      <w:r>
        <w:rPr>
          <w:color w:val="auto"/>
        </w:rPr>
        <w:tab/>
      </w:r>
      <w:r>
        <w:rPr>
          <w:color w:val="auto"/>
        </w:rPr>
        <w:fldChar w:fldCharType="begin"/>
      </w:r>
      <w:r>
        <w:rPr>
          <w:color w:val="auto"/>
        </w:rPr>
        <w:instrText xml:space="preserve"> PAGEREF _Toc15436 \h </w:instrText>
      </w:r>
      <w:r>
        <w:rPr>
          <w:color w:val="auto"/>
        </w:rPr>
        <w:fldChar w:fldCharType="separate"/>
      </w:r>
      <w:r>
        <w:rPr>
          <w:color w:val="auto"/>
        </w:rPr>
        <w:t>15</w:t>
      </w:r>
      <w:r>
        <w:rPr>
          <w:color w:val="auto"/>
        </w:rPr>
        <w:fldChar w:fldCharType="end"/>
      </w:r>
      <w:r>
        <w:rPr>
          <w:rFonts w:hint="default" w:ascii="Times New Roman" w:hAnsi="Times New Roman" w:cs="Times New Roman"/>
          <w:color w:val="auto"/>
        </w:rPr>
        <w:fldChar w:fldCharType="end"/>
      </w:r>
    </w:p>
    <w:p w14:paraId="6B3DECFF">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_Toc25514 </w:instrText>
      </w:r>
      <w:r>
        <w:rPr>
          <w:rFonts w:hint="default" w:ascii="Times New Roman" w:hAnsi="Times New Roman" w:cs="Times New Roman"/>
          <w:color w:val="auto"/>
        </w:rPr>
        <w:fldChar w:fldCharType="separate"/>
      </w:r>
      <w:r>
        <w:rPr>
          <w:rFonts w:hint="eastAsia"/>
          <w:color w:val="auto"/>
          <w:lang w:val="en-US" w:eastAsia="zh-CN"/>
        </w:rPr>
        <w:t>5</w:t>
      </w:r>
      <w:r>
        <w:rPr>
          <w:rFonts w:hint="default"/>
          <w:color w:val="auto"/>
          <w:lang w:val="en-US" w:eastAsia="zh-CN"/>
        </w:rPr>
        <w:t xml:space="preserve">.1 </w:t>
      </w:r>
      <w:r>
        <w:rPr>
          <w:rFonts w:hint="eastAsia"/>
          <w:color w:val="auto"/>
          <w:lang w:val="en-US" w:eastAsia="zh-CN"/>
        </w:rPr>
        <w:t>建筑垃圾源头减量目标</w:t>
      </w:r>
      <w:r>
        <w:rPr>
          <w:color w:val="auto"/>
        </w:rPr>
        <w:tab/>
      </w:r>
      <w:r>
        <w:rPr>
          <w:color w:val="auto"/>
        </w:rPr>
        <w:fldChar w:fldCharType="begin"/>
      </w:r>
      <w:r>
        <w:rPr>
          <w:color w:val="auto"/>
        </w:rPr>
        <w:instrText xml:space="preserve"> PAGEREF _Toc25514 \h </w:instrText>
      </w:r>
      <w:r>
        <w:rPr>
          <w:color w:val="auto"/>
        </w:rPr>
        <w:fldChar w:fldCharType="separate"/>
      </w:r>
      <w:r>
        <w:rPr>
          <w:color w:val="auto"/>
        </w:rPr>
        <w:t>15</w:t>
      </w:r>
      <w:r>
        <w:rPr>
          <w:color w:val="auto"/>
        </w:rPr>
        <w:fldChar w:fldCharType="end"/>
      </w:r>
      <w:r>
        <w:rPr>
          <w:rFonts w:hint="default" w:ascii="Times New Roman" w:hAnsi="Times New Roman" w:cs="Times New Roman"/>
          <w:color w:val="auto"/>
        </w:rPr>
        <w:fldChar w:fldCharType="end"/>
      </w:r>
    </w:p>
    <w:p w14:paraId="64A99C7A">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_Toc11027 </w:instrText>
      </w:r>
      <w:r>
        <w:rPr>
          <w:rFonts w:hint="default" w:ascii="Times New Roman" w:hAnsi="Times New Roman" w:cs="Times New Roman"/>
          <w:color w:val="auto"/>
        </w:rPr>
        <w:fldChar w:fldCharType="separate"/>
      </w:r>
      <w:r>
        <w:rPr>
          <w:rFonts w:hint="eastAsia"/>
          <w:color w:val="auto"/>
          <w:lang w:val="en-US" w:eastAsia="zh-CN"/>
        </w:rPr>
        <w:t>5</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w:t>
      </w:r>
      <w:r>
        <w:rPr>
          <w:rFonts w:hint="eastAsia"/>
          <w:color w:val="auto"/>
          <w:lang w:val="en-US" w:eastAsia="zh-CN"/>
        </w:rPr>
        <w:t>建筑垃圾源头减量措施</w:t>
      </w:r>
      <w:r>
        <w:rPr>
          <w:color w:val="auto"/>
        </w:rPr>
        <w:tab/>
      </w:r>
      <w:r>
        <w:rPr>
          <w:color w:val="auto"/>
        </w:rPr>
        <w:fldChar w:fldCharType="begin"/>
      </w:r>
      <w:r>
        <w:rPr>
          <w:color w:val="auto"/>
        </w:rPr>
        <w:instrText xml:space="preserve"> PAGEREF _Toc11027 \h </w:instrText>
      </w:r>
      <w:r>
        <w:rPr>
          <w:color w:val="auto"/>
        </w:rPr>
        <w:fldChar w:fldCharType="separate"/>
      </w:r>
      <w:r>
        <w:rPr>
          <w:color w:val="auto"/>
        </w:rPr>
        <w:t>15</w:t>
      </w:r>
      <w:r>
        <w:rPr>
          <w:color w:val="auto"/>
        </w:rPr>
        <w:fldChar w:fldCharType="end"/>
      </w:r>
      <w:r>
        <w:rPr>
          <w:rFonts w:hint="default" w:ascii="Times New Roman" w:hAnsi="Times New Roman" w:cs="Times New Roman"/>
          <w:color w:val="auto"/>
        </w:rPr>
        <w:fldChar w:fldCharType="end"/>
      </w:r>
    </w:p>
    <w:p w14:paraId="2324012F">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_Toc17342 </w:instrText>
      </w:r>
      <w:r>
        <w:rPr>
          <w:rFonts w:hint="default" w:ascii="Times New Roman" w:hAnsi="Times New Roman" w:cs="Times New Roman"/>
          <w:color w:val="auto"/>
        </w:rPr>
        <w:fldChar w:fldCharType="separate"/>
      </w:r>
      <w:r>
        <w:rPr>
          <w:rFonts w:hint="eastAsia"/>
          <w:color w:val="auto"/>
          <w:lang w:val="en-US" w:eastAsia="zh-CN"/>
        </w:rPr>
        <w:t>5.2.1 工程渣土及泥浆</w:t>
      </w:r>
      <w:r>
        <w:rPr>
          <w:color w:val="auto"/>
        </w:rPr>
        <w:tab/>
      </w:r>
      <w:r>
        <w:rPr>
          <w:color w:val="auto"/>
        </w:rPr>
        <w:fldChar w:fldCharType="begin"/>
      </w:r>
      <w:r>
        <w:rPr>
          <w:color w:val="auto"/>
        </w:rPr>
        <w:instrText xml:space="preserve"> PAGEREF _Toc17342 \h </w:instrText>
      </w:r>
      <w:r>
        <w:rPr>
          <w:color w:val="auto"/>
        </w:rPr>
        <w:fldChar w:fldCharType="separate"/>
      </w:r>
      <w:r>
        <w:rPr>
          <w:color w:val="auto"/>
        </w:rPr>
        <w:t>15</w:t>
      </w:r>
      <w:r>
        <w:rPr>
          <w:color w:val="auto"/>
        </w:rPr>
        <w:fldChar w:fldCharType="end"/>
      </w:r>
      <w:r>
        <w:rPr>
          <w:rFonts w:hint="default" w:ascii="Times New Roman" w:hAnsi="Times New Roman" w:cs="Times New Roman"/>
          <w:color w:val="auto"/>
        </w:rPr>
        <w:fldChar w:fldCharType="end"/>
      </w:r>
    </w:p>
    <w:p w14:paraId="26AAF848">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_Toc30394 </w:instrText>
      </w:r>
      <w:r>
        <w:rPr>
          <w:rFonts w:hint="default" w:ascii="Times New Roman" w:hAnsi="Times New Roman" w:cs="Times New Roman"/>
          <w:color w:val="auto"/>
        </w:rPr>
        <w:fldChar w:fldCharType="separate"/>
      </w:r>
      <w:r>
        <w:rPr>
          <w:rFonts w:hint="eastAsia"/>
          <w:color w:val="auto"/>
          <w:lang w:val="en-US" w:eastAsia="zh-CN"/>
        </w:rPr>
        <w:t>5.2.2 工程垃圾</w:t>
      </w:r>
      <w:r>
        <w:rPr>
          <w:color w:val="auto"/>
        </w:rPr>
        <w:tab/>
      </w:r>
      <w:r>
        <w:rPr>
          <w:color w:val="auto"/>
        </w:rPr>
        <w:fldChar w:fldCharType="begin"/>
      </w:r>
      <w:r>
        <w:rPr>
          <w:color w:val="auto"/>
        </w:rPr>
        <w:instrText xml:space="preserve"> PAGEREF _Toc30394 \h </w:instrText>
      </w:r>
      <w:r>
        <w:rPr>
          <w:color w:val="auto"/>
        </w:rPr>
        <w:fldChar w:fldCharType="separate"/>
      </w:r>
      <w:r>
        <w:rPr>
          <w:color w:val="auto"/>
        </w:rPr>
        <w:t>15</w:t>
      </w:r>
      <w:r>
        <w:rPr>
          <w:color w:val="auto"/>
        </w:rPr>
        <w:fldChar w:fldCharType="end"/>
      </w:r>
      <w:r>
        <w:rPr>
          <w:rFonts w:hint="default" w:ascii="Times New Roman" w:hAnsi="Times New Roman" w:cs="Times New Roman"/>
          <w:color w:val="auto"/>
        </w:rPr>
        <w:fldChar w:fldCharType="end"/>
      </w:r>
    </w:p>
    <w:p w14:paraId="7C196124">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_Toc18882 </w:instrText>
      </w:r>
      <w:r>
        <w:rPr>
          <w:rFonts w:hint="default" w:ascii="Times New Roman" w:hAnsi="Times New Roman" w:cs="Times New Roman"/>
          <w:color w:val="auto"/>
        </w:rPr>
        <w:fldChar w:fldCharType="separate"/>
      </w:r>
      <w:r>
        <w:rPr>
          <w:rFonts w:hint="eastAsia"/>
          <w:color w:val="auto"/>
          <w:lang w:val="en-US" w:eastAsia="zh-CN"/>
        </w:rPr>
        <w:t>5.2.3 拆除垃圾</w:t>
      </w:r>
      <w:r>
        <w:rPr>
          <w:color w:val="auto"/>
        </w:rPr>
        <w:tab/>
      </w:r>
      <w:r>
        <w:rPr>
          <w:color w:val="auto"/>
        </w:rPr>
        <w:fldChar w:fldCharType="begin"/>
      </w:r>
      <w:r>
        <w:rPr>
          <w:color w:val="auto"/>
        </w:rPr>
        <w:instrText xml:space="preserve"> PAGEREF _Toc18882 \h </w:instrText>
      </w:r>
      <w:r>
        <w:rPr>
          <w:color w:val="auto"/>
        </w:rPr>
        <w:fldChar w:fldCharType="separate"/>
      </w:r>
      <w:r>
        <w:rPr>
          <w:color w:val="auto"/>
        </w:rPr>
        <w:t>16</w:t>
      </w:r>
      <w:r>
        <w:rPr>
          <w:color w:val="auto"/>
        </w:rPr>
        <w:fldChar w:fldCharType="end"/>
      </w:r>
      <w:r>
        <w:rPr>
          <w:rFonts w:hint="default" w:ascii="Times New Roman" w:hAnsi="Times New Roman" w:cs="Times New Roman"/>
          <w:color w:val="auto"/>
        </w:rPr>
        <w:fldChar w:fldCharType="end"/>
      </w:r>
    </w:p>
    <w:p w14:paraId="555FB088">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_Toc9188 </w:instrText>
      </w:r>
      <w:r>
        <w:rPr>
          <w:rFonts w:hint="default" w:ascii="Times New Roman" w:hAnsi="Times New Roman" w:cs="Times New Roman"/>
          <w:color w:val="auto"/>
        </w:rPr>
        <w:fldChar w:fldCharType="separate"/>
      </w:r>
      <w:r>
        <w:rPr>
          <w:rFonts w:hint="eastAsia"/>
          <w:color w:val="auto"/>
          <w:lang w:val="en-US" w:eastAsia="zh-CN"/>
        </w:rPr>
        <w:t>5.2.4 装修垃圾</w:t>
      </w:r>
      <w:r>
        <w:rPr>
          <w:color w:val="auto"/>
        </w:rPr>
        <w:tab/>
      </w:r>
      <w:r>
        <w:rPr>
          <w:color w:val="auto"/>
        </w:rPr>
        <w:fldChar w:fldCharType="begin"/>
      </w:r>
      <w:r>
        <w:rPr>
          <w:color w:val="auto"/>
        </w:rPr>
        <w:instrText xml:space="preserve"> PAGEREF _Toc9188 \h </w:instrText>
      </w:r>
      <w:r>
        <w:rPr>
          <w:color w:val="auto"/>
        </w:rPr>
        <w:fldChar w:fldCharType="separate"/>
      </w:r>
      <w:r>
        <w:rPr>
          <w:color w:val="auto"/>
        </w:rPr>
        <w:t>17</w:t>
      </w:r>
      <w:r>
        <w:rPr>
          <w:color w:val="auto"/>
        </w:rPr>
        <w:fldChar w:fldCharType="end"/>
      </w:r>
      <w:r>
        <w:rPr>
          <w:rFonts w:hint="default" w:ascii="Times New Roman" w:hAnsi="Times New Roman" w:cs="Times New Roman"/>
          <w:color w:val="auto"/>
        </w:rPr>
        <w:fldChar w:fldCharType="end"/>
      </w:r>
    </w:p>
    <w:p w14:paraId="0276FD99">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_Toc5690 </w:instrText>
      </w:r>
      <w:r>
        <w:rPr>
          <w:rFonts w:hint="default" w:ascii="Times New Roman" w:hAnsi="Times New Roman" w:cs="Times New Roman"/>
          <w:color w:val="auto"/>
        </w:rPr>
        <w:fldChar w:fldCharType="separate"/>
      </w:r>
      <w:r>
        <w:rPr>
          <w:rFonts w:hint="eastAsia"/>
          <w:color w:val="auto"/>
          <w:lang w:val="en-US" w:eastAsia="zh-CN"/>
        </w:rPr>
        <w:t>5</w:t>
      </w:r>
      <w:r>
        <w:rPr>
          <w:rFonts w:hint="default"/>
          <w:color w:val="auto"/>
          <w:lang w:val="en-US" w:eastAsia="zh-CN"/>
        </w:rPr>
        <w:t>.3 建筑垃圾源头污染防治要求</w:t>
      </w:r>
      <w:r>
        <w:rPr>
          <w:color w:val="auto"/>
        </w:rPr>
        <w:tab/>
      </w:r>
      <w:r>
        <w:rPr>
          <w:color w:val="auto"/>
        </w:rPr>
        <w:fldChar w:fldCharType="begin"/>
      </w:r>
      <w:r>
        <w:rPr>
          <w:color w:val="auto"/>
        </w:rPr>
        <w:instrText xml:space="preserve"> PAGEREF _Toc5690 \h </w:instrText>
      </w:r>
      <w:r>
        <w:rPr>
          <w:color w:val="auto"/>
        </w:rPr>
        <w:fldChar w:fldCharType="separate"/>
      </w:r>
      <w:r>
        <w:rPr>
          <w:color w:val="auto"/>
        </w:rPr>
        <w:t>17</w:t>
      </w:r>
      <w:r>
        <w:rPr>
          <w:color w:val="auto"/>
        </w:rPr>
        <w:fldChar w:fldCharType="end"/>
      </w:r>
      <w:r>
        <w:rPr>
          <w:rFonts w:hint="default" w:ascii="Times New Roman" w:hAnsi="Times New Roman" w:cs="Times New Roman"/>
          <w:color w:val="auto"/>
        </w:rPr>
        <w:fldChar w:fldCharType="end"/>
      </w:r>
    </w:p>
    <w:p w14:paraId="71A9D5E3">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_Toc3508 </w:instrText>
      </w:r>
      <w:r>
        <w:rPr>
          <w:rFonts w:hint="default" w:ascii="Times New Roman" w:hAnsi="Times New Roman" w:cs="Times New Roman"/>
          <w:color w:val="auto"/>
        </w:rPr>
        <w:fldChar w:fldCharType="separate"/>
      </w:r>
      <w:r>
        <w:rPr>
          <w:rFonts w:hint="eastAsia"/>
          <w:color w:val="auto"/>
          <w:lang w:val="en-US" w:eastAsia="zh-CN"/>
        </w:rPr>
        <w:t>5.3.1 严格处置核准要求</w:t>
      </w:r>
      <w:r>
        <w:rPr>
          <w:color w:val="auto"/>
        </w:rPr>
        <w:tab/>
      </w:r>
      <w:r>
        <w:rPr>
          <w:color w:val="auto"/>
        </w:rPr>
        <w:fldChar w:fldCharType="begin"/>
      </w:r>
      <w:r>
        <w:rPr>
          <w:color w:val="auto"/>
        </w:rPr>
        <w:instrText xml:space="preserve"> PAGEREF _Toc3508 \h </w:instrText>
      </w:r>
      <w:r>
        <w:rPr>
          <w:color w:val="auto"/>
        </w:rPr>
        <w:fldChar w:fldCharType="separate"/>
      </w:r>
      <w:r>
        <w:rPr>
          <w:color w:val="auto"/>
        </w:rPr>
        <w:t>17</w:t>
      </w:r>
      <w:r>
        <w:rPr>
          <w:color w:val="auto"/>
        </w:rPr>
        <w:fldChar w:fldCharType="end"/>
      </w:r>
      <w:r>
        <w:rPr>
          <w:rFonts w:hint="default" w:ascii="Times New Roman" w:hAnsi="Times New Roman" w:cs="Times New Roman"/>
          <w:color w:val="auto"/>
        </w:rPr>
        <w:fldChar w:fldCharType="end"/>
      </w:r>
    </w:p>
    <w:p w14:paraId="4921BDEC">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_Toc2501 </w:instrText>
      </w:r>
      <w:r>
        <w:rPr>
          <w:rFonts w:hint="default" w:ascii="Times New Roman" w:hAnsi="Times New Roman" w:cs="Times New Roman"/>
          <w:color w:val="auto"/>
        </w:rPr>
        <w:fldChar w:fldCharType="separate"/>
      </w:r>
      <w:r>
        <w:rPr>
          <w:rFonts w:hint="eastAsia"/>
          <w:color w:val="auto"/>
          <w:lang w:val="en-US" w:eastAsia="zh-CN"/>
        </w:rPr>
        <w:t xml:space="preserve">5.3.2 </w:t>
      </w:r>
      <w:r>
        <w:rPr>
          <w:rFonts w:hint="default"/>
          <w:color w:val="auto"/>
          <w:lang w:val="en-US" w:eastAsia="zh-CN"/>
        </w:rPr>
        <w:t>做好大气污染防治</w:t>
      </w:r>
      <w:r>
        <w:rPr>
          <w:color w:val="auto"/>
        </w:rPr>
        <w:tab/>
      </w:r>
      <w:r>
        <w:rPr>
          <w:color w:val="auto"/>
        </w:rPr>
        <w:fldChar w:fldCharType="begin"/>
      </w:r>
      <w:r>
        <w:rPr>
          <w:color w:val="auto"/>
        </w:rPr>
        <w:instrText xml:space="preserve"> PAGEREF _Toc2501 \h </w:instrText>
      </w:r>
      <w:r>
        <w:rPr>
          <w:color w:val="auto"/>
        </w:rPr>
        <w:fldChar w:fldCharType="separate"/>
      </w:r>
      <w:r>
        <w:rPr>
          <w:color w:val="auto"/>
        </w:rPr>
        <w:t>17</w:t>
      </w:r>
      <w:r>
        <w:rPr>
          <w:color w:val="auto"/>
        </w:rPr>
        <w:fldChar w:fldCharType="end"/>
      </w:r>
      <w:r>
        <w:rPr>
          <w:rFonts w:hint="default" w:ascii="Times New Roman" w:hAnsi="Times New Roman" w:cs="Times New Roman"/>
          <w:color w:val="auto"/>
        </w:rPr>
        <w:fldChar w:fldCharType="end"/>
      </w:r>
    </w:p>
    <w:p w14:paraId="4E157225">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_Toc17474 </w:instrText>
      </w:r>
      <w:r>
        <w:rPr>
          <w:rFonts w:hint="default" w:ascii="Times New Roman" w:hAnsi="Times New Roman" w:cs="Times New Roman"/>
          <w:color w:val="auto"/>
        </w:rPr>
        <w:fldChar w:fldCharType="separate"/>
      </w:r>
      <w:r>
        <w:rPr>
          <w:rFonts w:hint="eastAsia"/>
          <w:color w:val="auto"/>
          <w:lang w:val="en-US" w:eastAsia="zh-CN"/>
        </w:rPr>
        <w:t>5.3.3 做好噪声污染防治</w:t>
      </w:r>
      <w:r>
        <w:rPr>
          <w:color w:val="auto"/>
        </w:rPr>
        <w:tab/>
      </w:r>
      <w:r>
        <w:rPr>
          <w:color w:val="auto"/>
        </w:rPr>
        <w:fldChar w:fldCharType="begin"/>
      </w:r>
      <w:r>
        <w:rPr>
          <w:color w:val="auto"/>
        </w:rPr>
        <w:instrText xml:space="preserve"> PAGEREF _Toc17474 \h </w:instrText>
      </w:r>
      <w:r>
        <w:rPr>
          <w:color w:val="auto"/>
        </w:rPr>
        <w:fldChar w:fldCharType="separate"/>
      </w:r>
      <w:r>
        <w:rPr>
          <w:color w:val="auto"/>
        </w:rPr>
        <w:t>17</w:t>
      </w:r>
      <w:r>
        <w:rPr>
          <w:color w:val="auto"/>
        </w:rPr>
        <w:fldChar w:fldCharType="end"/>
      </w:r>
      <w:r>
        <w:rPr>
          <w:rFonts w:hint="default" w:ascii="Times New Roman" w:hAnsi="Times New Roman" w:cs="Times New Roman"/>
          <w:color w:val="auto"/>
        </w:rPr>
        <w:fldChar w:fldCharType="end"/>
      </w:r>
    </w:p>
    <w:p w14:paraId="302BB6C7">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_Toc17963 </w:instrText>
      </w:r>
      <w:r>
        <w:rPr>
          <w:rFonts w:hint="default" w:ascii="Times New Roman" w:hAnsi="Times New Roman" w:cs="Times New Roman"/>
          <w:color w:val="auto"/>
        </w:rPr>
        <w:fldChar w:fldCharType="separate"/>
      </w:r>
      <w:r>
        <w:rPr>
          <w:rFonts w:hint="eastAsia"/>
          <w:color w:val="auto"/>
          <w:lang w:val="en-US" w:eastAsia="zh-CN"/>
        </w:rPr>
        <w:t>5.3.4 做好水环境污染防治</w:t>
      </w:r>
      <w:r>
        <w:rPr>
          <w:color w:val="auto"/>
        </w:rPr>
        <w:tab/>
      </w:r>
      <w:r>
        <w:rPr>
          <w:color w:val="auto"/>
        </w:rPr>
        <w:fldChar w:fldCharType="begin"/>
      </w:r>
      <w:r>
        <w:rPr>
          <w:color w:val="auto"/>
        </w:rPr>
        <w:instrText xml:space="preserve"> PAGEREF _Toc17963 \h </w:instrText>
      </w:r>
      <w:r>
        <w:rPr>
          <w:color w:val="auto"/>
        </w:rPr>
        <w:fldChar w:fldCharType="separate"/>
      </w:r>
      <w:r>
        <w:rPr>
          <w:color w:val="auto"/>
        </w:rPr>
        <w:t>17</w:t>
      </w:r>
      <w:r>
        <w:rPr>
          <w:color w:val="auto"/>
        </w:rPr>
        <w:fldChar w:fldCharType="end"/>
      </w:r>
      <w:r>
        <w:rPr>
          <w:rFonts w:hint="default" w:ascii="Times New Roman" w:hAnsi="Times New Roman" w:cs="Times New Roman"/>
          <w:color w:val="auto"/>
        </w:rPr>
        <w:fldChar w:fldCharType="end"/>
      </w:r>
    </w:p>
    <w:p w14:paraId="62A3A979">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_Toc13318 </w:instrText>
      </w:r>
      <w:r>
        <w:rPr>
          <w:rFonts w:hint="default" w:ascii="Times New Roman" w:hAnsi="Times New Roman" w:cs="Times New Roman"/>
          <w:color w:val="auto"/>
        </w:rPr>
        <w:fldChar w:fldCharType="separate"/>
      </w:r>
      <w:r>
        <w:rPr>
          <w:rFonts w:hint="default"/>
          <w:color w:val="auto"/>
          <w:lang w:val="en-US" w:eastAsia="zh-CN"/>
        </w:rPr>
        <w:t>第</w:t>
      </w:r>
      <w:r>
        <w:rPr>
          <w:rFonts w:hint="eastAsia"/>
          <w:color w:val="auto"/>
          <w:lang w:val="en-US" w:eastAsia="zh-CN"/>
        </w:rPr>
        <w:t>六</w:t>
      </w:r>
      <w:r>
        <w:rPr>
          <w:rFonts w:hint="default"/>
          <w:color w:val="auto"/>
          <w:lang w:val="en-US" w:eastAsia="zh-CN"/>
        </w:rPr>
        <w:t xml:space="preserve">章 </w:t>
      </w:r>
      <w:r>
        <w:rPr>
          <w:rFonts w:hint="eastAsia"/>
          <w:color w:val="auto"/>
          <w:lang w:val="en-US" w:eastAsia="zh-CN"/>
        </w:rPr>
        <w:t>建筑垃圾收集运输规划</w:t>
      </w:r>
      <w:r>
        <w:rPr>
          <w:color w:val="auto"/>
        </w:rPr>
        <w:tab/>
      </w:r>
      <w:r>
        <w:rPr>
          <w:color w:val="auto"/>
        </w:rPr>
        <w:fldChar w:fldCharType="begin"/>
      </w:r>
      <w:r>
        <w:rPr>
          <w:color w:val="auto"/>
        </w:rPr>
        <w:instrText xml:space="preserve"> PAGEREF _Toc13318 \h </w:instrText>
      </w:r>
      <w:r>
        <w:rPr>
          <w:color w:val="auto"/>
        </w:rPr>
        <w:fldChar w:fldCharType="separate"/>
      </w:r>
      <w:r>
        <w:rPr>
          <w:color w:val="auto"/>
        </w:rPr>
        <w:t>18</w:t>
      </w:r>
      <w:r>
        <w:rPr>
          <w:color w:val="auto"/>
        </w:rPr>
        <w:fldChar w:fldCharType="end"/>
      </w:r>
      <w:r>
        <w:rPr>
          <w:rFonts w:hint="default" w:ascii="Times New Roman" w:hAnsi="Times New Roman" w:cs="Times New Roman"/>
          <w:color w:val="auto"/>
        </w:rPr>
        <w:fldChar w:fldCharType="end"/>
      </w:r>
    </w:p>
    <w:p w14:paraId="01F56DEE">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_Toc14498 </w:instrText>
      </w:r>
      <w:r>
        <w:rPr>
          <w:rFonts w:hint="default" w:ascii="Times New Roman" w:hAnsi="Times New Roman" w:cs="Times New Roman"/>
          <w:color w:val="auto"/>
        </w:rPr>
        <w:fldChar w:fldCharType="separate"/>
      </w:r>
      <w:r>
        <w:rPr>
          <w:rFonts w:hint="eastAsia"/>
          <w:color w:val="auto"/>
          <w:lang w:val="en-US" w:eastAsia="zh-CN"/>
        </w:rPr>
        <w:t>6.1 建筑垃圾收运模式</w:t>
      </w:r>
      <w:r>
        <w:rPr>
          <w:color w:val="auto"/>
        </w:rPr>
        <w:tab/>
      </w:r>
      <w:r>
        <w:rPr>
          <w:color w:val="auto"/>
        </w:rPr>
        <w:fldChar w:fldCharType="begin"/>
      </w:r>
      <w:r>
        <w:rPr>
          <w:color w:val="auto"/>
        </w:rPr>
        <w:instrText xml:space="preserve"> PAGEREF _Toc14498 \h </w:instrText>
      </w:r>
      <w:r>
        <w:rPr>
          <w:color w:val="auto"/>
        </w:rPr>
        <w:fldChar w:fldCharType="separate"/>
      </w:r>
      <w:r>
        <w:rPr>
          <w:color w:val="auto"/>
        </w:rPr>
        <w:t>18</w:t>
      </w:r>
      <w:r>
        <w:rPr>
          <w:color w:val="auto"/>
        </w:rPr>
        <w:fldChar w:fldCharType="end"/>
      </w:r>
      <w:r>
        <w:rPr>
          <w:rFonts w:hint="default" w:ascii="Times New Roman" w:hAnsi="Times New Roman" w:cs="Times New Roman"/>
          <w:color w:val="auto"/>
        </w:rPr>
        <w:fldChar w:fldCharType="end"/>
      </w:r>
    </w:p>
    <w:p w14:paraId="0187D21B">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_Toc1391 </w:instrText>
      </w:r>
      <w:r>
        <w:rPr>
          <w:rFonts w:hint="default" w:ascii="Times New Roman" w:hAnsi="Times New Roman" w:cs="Times New Roman"/>
          <w:color w:val="auto"/>
        </w:rPr>
        <w:fldChar w:fldCharType="separate"/>
      </w:r>
      <w:r>
        <w:rPr>
          <w:rFonts w:hint="eastAsia"/>
          <w:color w:val="auto"/>
          <w:lang w:val="en-US" w:eastAsia="zh-CN"/>
        </w:rPr>
        <w:t>6.1.1 建筑垃圾收运主体</w:t>
      </w:r>
      <w:r>
        <w:rPr>
          <w:color w:val="auto"/>
        </w:rPr>
        <w:tab/>
      </w:r>
      <w:r>
        <w:rPr>
          <w:color w:val="auto"/>
        </w:rPr>
        <w:fldChar w:fldCharType="begin"/>
      </w:r>
      <w:r>
        <w:rPr>
          <w:color w:val="auto"/>
        </w:rPr>
        <w:instrText xml:space="preserve"> PAGEREF _Toc1391 \h </w:instrText>
      </w:r>
      <w:r>
        <w:rPr>
          <w:color w:val="auto"/>
        </w:rPr>
        <w:fldChar w:fldCharType="separate"/>
      </w:r>
      <w:r>
        <w:rPr>
          <w:color w:val="auto"/>
        </w:rPr>
        <w:t>18</w:t>
      </w:r>
      <w:r>
        <w:rPr>
          <w:color w:val="auto"/>
        </w:rPr>
        <w:fldChar w:fldCharType="end"/>
      </w:r>
      <w:r>
        <w:rPr>
          <w:rFonts w:hint="default" w:ascii="Times New Roman" w:hAnsi="Times New Roman" w:cs="Times New Roman"/>
          <w:color w:val="auto"/>
        </w:rPr>
        <w:fldChar w:fldCharType="end"/>
      </w:r>
    </w:p>
    <w:p w14:paraId="4C45FA1C">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_Toc32660 </w:instrText>
      </w:r>
      <w:r>
        <w:rPr>
          <w:rFonts w:hint="default" w:ascii="Times New Roman" w:hAnsi="Times New Roman" w:cs="Times New Roman"/>
          <w:color w:val="auto"/>
        </w:rPr>
        <w:fldChar w:fldCharType="separate"/>
      </w:r>
      <w:r>
        <w:rPr>
          <w:rFonts w:hint="eastAsia"/>
          <w:color w:val="auto"/>
          <w:lang w:val="en-US" w:eastAsia="zh-CN"/>
        </w:rPr>
        <w:t>6</w:t>
      </w:r>
      <w:r>
        <w:rPr>
          <w:rFonts w:hint="default"/>
          <w:color w:val="auto"/>
          <w:lang w:val="en-US" w:eastAsia="zh-CN"/>
        </w:rPr>
        <w:t>.</w:t>
      </w:r>
      <w:r>
        <w:rPr>
          <w:rFonts w:hint="eastAsia"/>
          <w:color w:val="auto"/>
          <w:lang w:val="en-US" w:eastAsia="zh-CN"/>
        </w:rPr>
        <w:t>1</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建筑垃圾收运流程</w:t>
      </w:r>
      <w:r>
        <w:rPr>
          <w:color w:val="auto"/>
        </w:rPr>
        <w:tab/>
      </w:r>
      <w:r>
        <w:rPr>
          <w:color w:val="auto"/>
        </w:rPr>
        <w:fldChar w:fldCharType="begin"/>
      </w:r>
      <w:r>
        <w:rPr>
          <w:color w:val="auto"/>
        </w:rPr>
        <w:instrText xml:space="preserve"> PAGEREF _Toc32660 \h </w:instrText>
      </w:r>
      <w:r>
        <w:rPr>
          <w:color w:val="auto"/>
        </w:rPr>
        <w:fldChar w:fldCharType="separate"/>
      </w:r>
      <w:r>
        <w:rPr>
          <w:color w:val="auto"/>
        </w:rPr>
        <w:t>18</w:t>
      </w:r>
      <w:r>
        <w:rPr>
          <w:color w:val="auto"/>
        </w:rPr>
        <w:fldChar w:fldCharType="end"/>
      </w:r>
      <w:r>
        <w:rPr>
          <w:rFonts w:hint="default" w:ascii="Times New Roman" w:hAnsi="Times New Roman" w:cs="Times New Roman"/>
          <w:color w:val="auto"/>
        </w:rPr>
        <w:fldChar w:fldCharType="end"/>
      </w:r>
    </w:p>
    <w:p w14:paraId="43897C3E">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_Toc24114 </w:instrText>
      </w:r>
      <w:r>
        <w:rPr>
          <w:rFonts w:hint="default" w:ascii="Times New Roman" w:hAnsi="Times New Roman" w:cs="Times New Roman"/>
          <w:color w:val="auto"/>
        </w:rPr>
        <w:fldChar w:fldCharType="separate"/>
      </w:r>
      <w:r>
        <w:rPr>
          <w:rFonts w:hint="eastAsia"/>
          <w:color w:val="auto"/>
          <w:lang w:val="en-US" w:eastAsia="zh-CN"/>
        </w:rPr>
        <w:t>6.2 建筑垃圾收运要求</w:t>
      </w:r>
      <w:r>
        <w:rPr>
          <w:color w:val="auto"/>
        </w:rPr>
        <w:tab/>
      </w:r>
      <w:r>
        <w:rPr>
          <w:color w:val="auto"/>
        </w:rPr>
        <w:fldChar w:fldCharType="begin"/>
      </w:r>
      <w:r>
        <w:rPr>
          <w:color w:val="auto"/>
        </w:rPr>
        <w:instrText xml:space="preserve"> PAGEREF _Toc24114 \h </w:instrText>
      </w:r>
      <w:r>
        <w:rPr>
          <w:color w:val="auto"/>
        </w:rPr>
        <w:fldChar w:fldCharType="separate"/>
      </w:r>
      <w:r>
        <w:rPr>
          <w:color w:val="auto"/>
        </w:rPr>
        <w:t>22</w:t>
      </w:r>
      <w:r>
        <w:rPr>
          <w:color w:val="auto"/>
        </w:rPr>
        <w:fldChar w:fldCharType="end"/>
      </w:r>
      <w:r>
        <w:rPr>
          <w:rFonts w:hint="default" w:ascii="Times New Roman" w:hAnsi="Times New Roman" w:cs="Times New Roman"/>
          <w:color w:val="auto"/>
        </w:rPr>
        <w:fldChar w:fldCharType="end"/>
      </w:r>
    </w:p>
    <w:p w14:paraId="1158EEE2">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_Toc20261 </w:instrText>
      </w:r>
      <w:r>
        <w:rPr>
          <w:rFonts w:hint="default" w:ascii="Times New Roman" w:hAnsi="Times New Roman" w:cs="Times New Roman"/>
          <w:color w:val="auto"/>
        </w:rPr>
        <w:fldChar w:fldCharType="separate"/>
      </w:r>
      <w:r>
        <w:rPr>
          <w:rFonts w:hint="eastAsia"/>
          <w:color w:val="auto"/>
          <w:lang w:val="en-US" w:eastAsia="zh-CN"/>
        </w:rPr>
        <w:t>6.3 建筑垃圾分类收运</w:t>
      </w:r>
      <w:r>
        <w:rPr>
          <w:color w:val="auto"/>
        </w:rPr>
        <w:tab/>
      </w:r>
      <w:r>
        <w:rPr>
          <w:color w:val="auto"/>
        </w:rPr>
        <w:fldChar w:fldCharType="begin"/>
      </w:r>
      <w:r>
        <w:rPr>
          <w:color w:val="auto"/>
        </w:rPr>
        <w:instrText xml:space="preserve"> PAGEREF _Toc20261 \h </w:instrText>
      </w:r>
      <w:r>
        <w:rPr>
          <w:color w:val="auto"/>
        </w:rPr>
        <w:fldChar w:fldCharType="separate"/>
      </w:r>
      <w:r>
        <w:rPr>
          <w:color w:val="auto"/>
        </w:rPr>
        <w:t>22</w:t>
      </w:r>
      <w:r>
        <w:rPr>
          <w:color w:val="auto"/>
        </w:rPr>
        <w:fldChar w:fldCharType="end"/>
      </w:r>
      <w:r>
        <w:rPr>
          <w:rFonts w:hint="default" w:ascii="Times New Roman" w:hAnsi="Times New Roman" w:cs="Times New Roman"/>
          <w:color w:val="auto"/>
        </w:rPr>
        <w:fldChar w:fldCharType="end"/>
      </w:r>
    </w:p>
    <w:p w14:paraId="37CCF93A">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_Toc14873 </w:instrText>
      </w:r>
      <w:r>
        <w:rPr>
          <w:rFonts w:hint="default" w:ascii="Times New Roman" w:hAnsi="Times New Roman" w:cs="Times New Roman"/>
          <w:color w:val="auto"/>
        </w:rPr>
        <w:fldChar w:fldCharType="separate"/>
      </w:r>
      <w:r>
        <w:rPr>
          <w:rFonts w:hint="eastAsia"/>
          <w:color w:val="auto"/>
          <w:lang w:val="en-US" w:eastAsia="zh-CN"/>
        </w:rPr>
        <w:t>6.3.1 分类收集要求</w:t>
      </w:r>
      <w:r>
        <w:rPr>
          <w:color w:val="auto"/>
        </w:rPr>
        <w:tab/>
      </w:r>
      <w:r>
        <w:rPr>
          <w:color w:val="auto"/>
        </w:rPr>
        <w:fldChar w:fldCharType="begin"/>
      </w:r>
      <w:r>
        <w:rPr>
          <w:color w:val="auto"/>
        </w:rPr>
        <w:instrText xml:space="preserve"> PAGEREF _Toc14873 \h </w:instrText>
      </w:r>
      <w:r>
        <w:rPr>
          <w:color w:val="auto"/>
        </w:rPr>
        <w:fldChar w:fldCharType="separate"/>
      </w:r>
      <w:r>
        <w:rPr>
          <w:color w:val="auto"/>
        </w:rPr>
        <w:t>22</w:t>
      </w:r>
      <w:r>
        <w:rPr>
          <w:color w:val="auto"/>
        </w:rPr>
        <w:fldChar w:fldCharType="end"/>
      </w:r>
      <w:r>
        <w:rPr>
          <w:rFonts w:hint="default" w:ascii="Times New Roman" w:hAnsi="Times New Roman" w:cs="Times New Roman"/>
          <w:color w:val="auto"/>
        </w:rPr>
        <w:fldChar w:fldCharType="end"/>
      </w:r>
    </w:p>
    <w:p w14:paraId="39996AE4">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_Toc21316 </w:instrText>
      </w:r>
      <w:r>
        <w:rPr>
          <w:rFonts w:hint="default" w:ascii="Times New Roman" w:hAnsi="Times New Roman" w:cs="Times New Roman"/>
          <w:color w:val="auto"/>
        </w:rPr>
        <w:fldChar w:fldCharType="separate"/>
      </w:r>
      <w:r>
        <w:rPr>
          <w:rFonts w:hint="eastAsia"/>
          <w:color w:val="auto"/>
          <w:lang w:val="en-US" w:eastAsia="zh-CN"/>
        </w:rPr>
        <w:t>6.3.2 运输要求</w:t>
      </w:r>
      <w:r>
        <w:rPr>
          <w:color w:val="auto"/>
        </w:rPr>
        <w:tab/>
      </w:r>
      <w:r>
        <w:rPr>
          <w:color w:val="auto"/>
        </w:rPr>
        <w:fldChar w:fldCharType="begin"/>
      </w:r>
      <w:r>
        <w:rPr>
          <w:color w:val="auto"/>
        </w:rPr>
        <w:instrText xml:space="preserve"> PAGEREF _Toc21316 \h </w:instrText>
      </w:r>
      <w:r>
        <w:rPr>
          <w:color w:val="auto"/>
        </w:rPr>
        <w:fldChar w:fldCharType="separate"/>
      </w:r>
      <w:r>
        <w:rPr>
          <w:color w:val="auto"/>
        </w:rPr>
        <w:t>22</w:t>
      </w:r>
      <w:r>
        <w:rPr>
          <w:color w:val="auto"/>
        </w:rPr>
        <w:fldChar w:fldCharType="end"/>
      </w:r>
      <w:r>
        <w:rPr>
          <w:rFonts w:hint="default" w:ascii="Times New Roman" w:hAnsi="Times New Roman" w:cs="Times New Roman"/>
          <w:color w:val="auto"/>
        </w:rPr>
        <w:fldChar w:fldCharType="end"/>
      </w:r>
    </w:p>
    <w:p w14:paraId="7AAF69DB">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_Toc32610 </w:instrText>
      </w:r>
      <w:r>
        <w:rPr>
          <w:rFonts w:hint="default" w:ascii="Times New Roman" w:hAnsi="Times New Roman" w:cs="Times New Roman"/>
          <w:color w:val="auto"/>
        </w:rPr>
        <w:fldChar w:fldCharType="separate"/>
      </w:r>
      <w:r>
        <w:rPr>
          <w:rFonts w:hint="eastAsia"/>
          <w:color w:val="auto"/>
          <w:lang w:val="en-US" w:eastAsia="zh-CN"/>
        </w:rPr>
        <w:t>6.4 建筑垃圾收运设施设备</w:t>
      </w:r>
      <w:r>
        <w:rPr>
          <w:color w:val="auto"/>
        </w:rPr>
        <w:tab/>
      </w:r>
      <w:r>
        <w:rPr>
          <w:color w:val="auto"/>
        </w:rPr>
        <w:fldChar w:fldCharType="begin"/>
      </w:r>
      <w:r>
        <w:rPr>
          <w:color w:val="auto"/>
        </w:rPr>
        <w:instrText xml:space="preserve"> PAGEREF _Toc32610 \h </w:instrText>
      </w:r>
      <w:r>
        <w:rPr>
          <w:color w:val="auto"/>
        </w:rPr>
        <w:fldChar w:fldCharType="separate"/>
      </w:r>
      <w:r>
        <w:rPr>
          <w:color w:val="auto"/>
        </w:rPr>
        <w:t>23</w:t>
      </w:r>
      <w:r>
        <w:rPr>
          <w:color w:val="auto"/>
        </w:rPr>
        <w:fldChar w:fldCharType="end"/>
      </w:r>
      <w:r>
        <w:rPr>
          <w:rFonts w:hint="default" w:ascii="Times New Roman" w:hAnsi="Times New Roman" w:cs="Times New Roman"/>
          <w:color w:val="auto"/>
        </w:rPr>
        <w:fldChar w:fldCharType="end"/>
      </w:r>
    </w:p>
    <w:p w14:paraId="1A1CB608">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_Toc17179 </w:instrText>
      </w:r>
      <w:r>
        <w:rPr>
          <w:rFonts w:hint="default" w:ascii="Times New Roman" w:hAnsi="Times New Roman" w:cs="Times New Roman"/>
          <w:color w:val="auto"/>
        </w:rPr>
        <w:fldChar w:fldCharType="separate"/>
      </w:r>
      <w:r>
        <w:rPr>
          <w:rFonts w:hint="eastAsia"/>
          <w:color w:val="auto"/>
          <w:lang w:val="en-US" w:eastAsia="zh-CN"/>
        </w:rPr>
        <w:t>6.4.1 装修垃圾指定投放点</w:t>
      </w:r>
      <w:r>
        <w:rPr>
          <w:color w:val="auto"/>
        </w:rPr>
        <w:tab/>
      </w:r>
      <w:r>
        <w:rPr>
          <w:color w:val="auto"/>
        </w:rPr>
        <w:fldChar w:fldCharType="begin"/>
      </w:r>
      <w:r>
        <w:rPr>
          <w:color w:val="auto"/>
        </w:rPr>
        <w:instrText xml:space="preserve"> PAGEREF _Toc17179 \h </w:instrText>
      </w:r>
      <w:r>
        <w:rPr>
          <w:color w:val="auto"/>
        </w:rPr>
        <w:fldChar w:fldCharType="separate"/>
      </w:r>
      <w:r>
        <w:rPr>
          <w:color w:val="auto"/>
        </w:rPr>
        <w:t>23</w:t>
      </w:r>
      <w:r>
        <w:rPr>
          <w:color w:val="auto"/>
        </w:rPr>
        <w:fldChar w:fldCharType="end"/>
      </w:r>
      <w:r>
        <w:rPr>
          <w:rFonts w:hint="default" w:ascii="Times New Roman" w:hAnsi="Times New Roman" w:cs="Times New Roman"/>
          <w:color w:val="auto"/>
        </w:rPr>
        <w:fldChar w:fldCharType="end"/>
      </w:r>
    </w:p>
    <w:p w14:paraId="1B609C81">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_Toc21222 </w:instrText>
      </w:r>
      <w:r>
        <w:rPr>
          <w:rFonts w:hint="default" w:ascii="Times New Roman" w:hAnsi="Times New Roman" w:cs="Times New Roman"/>
          <w:color w:val="auto"/>
        </w:rPr>
        <w:fldChar w:fldCharType="separate"/>
      </w:r>
      <w:r>
        <w:rPr>
          <w:rFonts w:hint="eastAsia"/>
          <w:color w:val="auto"/>
          <w:lang w:val="en-US" w:eastAsia="zh-CN"/>
        </w:rPr>
        <w:t>6.4.2 建筑垃圾收运车辆规划</w:t>
      </w:r>
      <w:r>
        <w:rPr>
          <w:color w:val="auto"/>
        </w:rPr>
        <w:tab/>
      </w:r>
      <w:r>
        <w:rPr>
          <w:color w:val="auto"/>
        </w:rPr>
        <w:fldChar w:fldCharType="begin"/>
      </w:r>
      <w:r>
        <w:rPr>
          <w:color w:val="auto"/>
        </w:rPr>
        <w:instrText xml:space="preserve"> PAGEREF _Toc21222 \h </w:instrText>
      </w:r>
      <w:r>
        <w:rPr>
          <w:color w:val="auto"/>
        </w:rPr>
        <w:fldChar w:fldCharType="separate"/>
      </w:r>
      <w:r>
        <w:rPr>
          <w:color w:val="auto"/>
        </w:rPr>
        <w:t>24</w:t>
      </w:r>
      <w:r>
        <w:rPr>
          <w:color w:val="auto"/>
        </w:rPr>
        <w:fldChar w:fldCharType="end"/>
      </w:r>
      <w:r>
        <w:rPr>
          <w:rFonts w:hint="default" w:ascii="Times New Roman" w:hAnsi="Times New Roman" w:cs="Times New Roman"/>
          <w:color w:val="auto"/>
        </w:rPr>
        <w:fldChar w:fldCharType="end"/>
      </w:r>
    </w:p>
    <w:p w14:paraId="6BCD9E9B">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_Toc14608 </w:instrText>
      </w:r>
      <w:r>
        <w:rPr>
          <w:rFonts w:hint="default" w:ascii="Times New Roman" w:hAnsi="Times New Roman" w:cs="Times New Roman"/>
          <w:color w:val="auto"/>
        </w:rPr>
        <w:fldChar w:fldCharType="separate"/>
      </w:r>
      <w:r>
        <w:rPr>
          <w:rFonts w:hint="eastAsia"/>
          <w:color w:val="auto"/>
          <w:lang w:val="en-US" w:eastAsia="zh-CN"/>
        </w:rPr>
        <w:t>6.5 建筑垃圾收运线路规划</w:t>
      </w:r>
      <w:r>
        <w:rPr>
          <w:color w:val="auto"/>
        </w:rPr>
        <w:tab/>
      </w:r>
      <w:r>
        <w:rPr>
          <w:color w:val="auto"/>
        </w:rPr>
        <w:fldChar w:fldCharType="begin"/>
      </w:r>
      <w:r>
        <w:rPr>
          <w:color w:val="auto"/>
        </w:rPr>
        <w:instrText xml:space="preserve"> PAGEREF _Toc14608 \h </w:instrText>
      </w:r>
      <w:r>
        <w:rPr>
          <w:color w:val="auto"/>
        </w:rPr>
        <w:fldChar w:fldCharType="separate"/>
      </w:r>
      <w:r>
        <w:rPr>
          <w:color w:val="auto"/>
        </w:rPr>
        <w:t>24</w:t>
      </w:r>
      <w:r>
        <w:rPr>
          <w:color w:val="auto"/>
        </w:rPr>
        <w:fldChar w:fldCharType="end"/>
      </w:r>
      <w:r>
        <w:rPr>
          <w:rFonts w:hint="default" w:ascii="Times New Roman" w:hAnsi="Times New Roman" w:cs="Times New Roman"/>
          <w:color w:val="auto"/>
        </w:rPr>
        <w:fldChar w:fldCharType="end"/>
      </w:r>
    </w:p>
    <w:p w14:paraId="00E35BBF">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_Toc4768 </w:instrText>
      </w:r>
      <w:r>
        <w:rPr>
          <w:rFonts w:hint="default" w:ascii="Times New Roman" w:hAnsi="Times New Roman" w:cs="Times New Roman"/>
          <w:color w:val="auto"/>
        </w:rPr>
        <w:fldChar w:fldCharType="separate"/>
      </w:r>
      <w:r>
        <w:rPr>
          <w:rFonts w:hint="eastAsia"/>
          <w:color w:val="auto"/>
          <w:lang w:val="en-US" w:eastAsia="zh-CN"/>
        </w:rPr>
        <w:t>第七章 建筑垃圾利用及处置规划</w:t>
      </w:r>
      <w:r>
        <w:rPr>
          <w:color w:val="auto"/>
        </w:rPr>
        <w:tab/>
      </w:r>
      <w:r>
        <w:rPr>
          <w:color w:val="auto"/>
        </w:rPr>
        <w:fldChar w:fldCharType="begin"/>
      </w:r>
      <w:r>
        <w:rPr>
          <w:color w:val="auto"/>
        </w:rPr>
        <w:instrText xml:space="preserve"> PAGEREF _Toc4768 \h </w:instrText>
      </w:r>
      <w:r>
        <w:rPr>
          <w:color w:val="auto"/>
        </w:rPr>
        <w:fldChar w:fldCharType="separate"/>
      </w:r>
      <w:r>
        <w:rPr>
          <w:color w:val="auto"/>
        </w:rPr>
        <w:t>25</w:t>
      </w:r>
      <w:r>
        <w:rPr>
          <w:color w:val="auto"/>
        </w:rPr>
        <w:fldChar w:fldCharType="end"/>
      </w:r>
      <w:r>
        <w:rPr>
          <w:rFonts w:hint="default" w:ascii="Times New Roman" w:hAnsi="Times New Roman" w:cs="Times New Roman"/>
          <w:color w:val="auto"/>
        </w:rPr>
        <w:fldChar w:fldCharType="end"/>
      </w:r>
    </w:p>
    <w:p w14:paraId="33C2D7DA">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_Toc15286 </w:instrText>
      </w:r>
      <w:r>
        <w:rPr>
          <w:rFonts w:hint="default" w:ascii="Times New Roman" w:hAnsi="Times New Roman" w:cs="Times New Roman"/>
          <w:color w:val="auto"/>
        </w:rPr>
        <w:fldChar w:fldCharType="separate"/>
      </w:r>
      <w:r>
        <w:rPr>
          <w:rFonts w:hint="eastAsia"/>
          <w:color w:val="auto"/>
          <w:lang w:val="en-US" w:eastAsia="zh-CN"/>
        </w:rPr>
        <w:t>7.1 建筑垃圾的处理模式</w:t>
      </w:r>
      <w:r>
        <w:rPr>
          <w:color w:val="auto"/>
        </w:rPr>
        <w:tab/>
      </w:r>
      <w:r>
        <w:rPr>
          <w:color w:val="auto"/>
        </w:rPr>
        <w:fldChar w:fldCharType="begin"/>
      </w:r>
      <w:r>
        <w:rPr>
          <w:color w:val="auto"/>
        </w:rPr>
        <w:instrText xml:space="preserve"> PAGEREF _Toc15286 \h </w:instrText>
      </w:r>
      <w:r>
        <w:rPr>
          <w:color w:val="auto"/>
        </w:rPr>
        <w:fldChar w:fldCharType="separate"/>
      </w:r>
      <w:r>
        <w:rPr>
          <w:color w:val="auto"/>
        </w:rPr>
        <w:t>25</w:t>
      </w:r>
      <w:r>
        <w:rPr>
          <w:color w:val="auto"/>
        </w:rPr>
        <w:fldChar w:fldCharType="end"/>
      </w:r>
      <w:r>
        <w:rPr>
          <w:rFonts w:hint="default" w:ascii="Times New Roman" w:hAnsi="Times New Roman" w:cs="Times New Roman"/>
          <w:color w:val="auto"/>
        </w:rPr>
        <w:fldChar w:fldCharType="end"/>
      </w:r>
    </w:p>
    <w:p w14:paraId="3C9BBA2D">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_Toc20816 </w:instrText>
      </w:r>
      <w:r>
        <w:rPr>
          <w:rFonts w:hint="default" w:ascii="Times New Roman" w:hAnsi="Times New Roman" w:cs="Times New Roman"/>
          <w:color w:val="auto"/>
        </w:rPr>
        <w:fldChar w:fldCharType="separate"/>
      </w:r>
      <w:r>
        <w:rPr>
          <w:rFonts w:hint="eastAsia"/>
          <w:color w:val="auto"/>
          <w:lang w:val="en-US" w:eastAsia="zh-CN"/>
        </w:rPr>
        <w:t>7.2 建筑垃圾利用规划</w:t>
      </w:r>
      <w:r>
        <w:rPr>
          <w:color w:val="auto"/>
        </w:rPr>
        <w:tab/>
      </w:r>
      <w:r>
        <w:rPr>
          <w:color w:val="auto"/>
        </w:rPr>
        <w:fldChar w:fldCharType="begin"/>
      </w:r>
      <w:r>
        <w:rPr>
          <w:color w:val="auto"/>
        </w:rPr>
        <w:instrText xml:space="preserve"> PAGEREF _Toc20816 \h </w:instrText>
      </w:r>
      <w:r>
        <w:rPr>
          <w:color w:val="auto"/>
        </w:rPr>
        <w:fldChar w:fldCharType="separate"/>
      </w:r>
      <w:r>
        <w:rPr>
          <w:color w:val="auto"/>
        </w:rPr>
        <w:t>26</w:t>
      </w:r>
      <w:r>
        <w:rPr>
          <w:color w:val="auto"/>
        </w:rPr>
        <w:fldChar w:fldCharType="end"/>
      </w:r>
      <w:r>
        <w:rPr>
          <w:rFonts w:hint="default" w:ascii="Times New Roman" w:hAnsi="Times New Roman" w:cs="Times New Roman"/>
          <w:color w:val="auto"/>
        </w:rPr>
        <w:fldChar w:fldCharType="end"/>
      </w:r>
    </w:p>
    <w:p w14:paraId="45BEA5F6">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_Toc1888 </w:instrText>
      </w:r>
      <w:r>
        <w:rPr>
          <w:rFonts w:hint="default" w:ascii="Times New Roman" w:hAnsi="Times New Roman" w:cs="Times New Roman"/>
          <w:color w:val="auto"/>
        </w:rPr>
        <w:fldChar w:fldCharType="separate"/>
      </w:r>
      <w:r>
        <w:rPr>
          <w:rFonts w:hint="eastAsia"/>
          <w:color w:val="auto"/>
          <w:lang w:val="en-US" w:eastAsia="zh-CN"/>
        </w:rPr>
        <w:t>7.2.1 建筑垃圾直接利用</w:t>
      </w:r>
      <w:r>
        <w:rPr>
          <w:color w:val="auto"/>
        </w:rPr>
        <w:tab/>
      </w:r>
      <w:r>
        <w:rPr>
          <w:color w:val="auto"/>
        </w:rPr>
        <w:fldChar w:fldCharType="begin"/>
      </w:r>
      <w:r>
        <w:rPr>
          <w:color w:val="auto"/>
        </w:rPr>
        <w:instrText xml:space="preserve"> PAGEREF _Toc1888 \h </w:instrText>
      </w:r>
      <w:r>
        <w:rPr>
          <w:color w:val="auto"/>
        </w:rPr>
        <w:fldChar w:fldCharType="separate"/>
      </w:r>
      <w:r>
        <w:rPr>
          <w:color w:val="auto"/>
        </w:rPr>
        <w:t>26</w:t>
      </w:r>
      <w:r>
        <w:rPr>
          <w:color w:val="auto"/>
        </w:rPr>
        <w:fldChar w:fldCharType="end"/>
      </w:r>
      <w:r>
        <w:rPr>
          <w:rFonts w:hint="default" w:ascii="Times New Roman" w:hAnsi="Times New Roman" w:cs="Times New Roman"/>
          <w:color w:val="auto"/>
        </w:rPr>
        <w:fldChar w:fldCharType="end"/>
      </w:r>
    </w:p>
    <w:p w14:paraId="04385D08">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_Toc17481 </w:instrText>
      </w:r>
      <w:r>
        <w:rPr>
          <w:rFonts w:hint="default" w:ascii="Times New Roman" w:hAnsi="Times New Roman" w:cs="Times New Roman"/>
          <w:color w:val="auto"/>
        </w:rPr>
        <w:fldChar w:fldCharType="separate"/>
      </w:r>
      <w:r>
        <w:rPr>
          <w:rFonts w:hint="eastAsia"/>
          <w:color w:val="auto"/>
          <w:lang w:val="en-US" w:eastAsia="zh-CN"/>
        </w:rPr>
        <w:t>7.2.2 建筑垃圾资源化利用</w:t>
      </w:r>
      <w:r>
        <w:rPr>
          <w:color w:val="auto"/>
        </w:rPr>
        <w:tab/>
      </w:r>
      <w:r>
        <w:rPr>
          <w:color w:val="auto"/>
        </w:rPr>
        <w:fldChar w:fldCharType="begin"/>
      </w:r>
      <w:r>
        <w:rPr>
          <w:color w:val="auto"/>
        </w:rPr>
        <w:instrText xml:space="preserve"> PAGEREF _Toc17481 \h </w:instrText>
      </w:r>
      <w:r>
        <w:rPr>
          <w:color w:val="auto"/>
        </w:rPr>
        <w:fldChar w:fldCharType="separate"/>
      </w:r>
      <w:r>
        <w:rPr>
          <w:color w:val="auto"/>
        </w:rPr>
        <w:t>27</w:t>
      </w:r>
      <w:r>
        <w:rPr>
          <w:color w:val="auto"/>
        </w:rPr>
        <w:fldChar w:fldCharType="end"/>
      </w:r>
      <w:r>
        <w:rPr>
          <w:rFonts w:hint="default" w:ascii="Times New Roman" w:hAnsi="Times New Roman" w:cs="Times New Roman"/>
          <w:color w:val="auto"/>
        </w:rPr>
        <w:fldChar w:fldCharType="end"/>
      </w:r>
    </w:p>
    <w:p w14:paraId="19B8388B">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_Toc25907 </w:instrText>
      </w:r>
      <w:r>
        <w:rPr>
          <w:rFonts w:hint="default" w:ascii="Times New Roman" w:hAnsi="Times New Roman" w:cs="Times New Roman"/>
          <w:color w:val="auto"/>
        </w:rPr>
        <w:fldChar w:fldCharType="separate"/>
      </w:r>
      <w:r>
        <w:rPr>
          <w:rFonts w:hint="eastAsia"/>
          <w:color w:val="auto"/>
          <w:lang w:val="en-US" w:eastAsia="zh-CN"/>
        </w:rPr>
        <w:t>7.2.3 建筑垃圾无害化处置</w:t>
      </w:r>
      <w:r>
        <w:rPr>
          <w:color w:val="auto"/>
        </w:rPr>
        <w:tab/>
      </w:r>
      <w:r>
        <w:rPr>
          <w:color w:val="auto"/>
        </w:rPr>
        <w:fldChar w:fldCharType="begin"/>
      </w:r>
      <w:r>
        <w:rPr>
          <w:color w:val="auto"/>
        </w:rPr>
        <w:instrText xml:space="preserve"> PAGEREF _Toc25907 \h </w:instrText>
      </w:r>
      <w:r>
        <w:rPr>
          <w:color w:val="auto"/>
        </w:rPr>
        <w:fldChar w:fldCharType="separate"/>
      </w:r>
      <w:r>
        <w:rPr>
          <w:color w:val="auto"/>
        </w:rPr>
        <w:t>27</w:t>
      </w:r>
      <w:r>
        <w:rPr>
          <w:color w:val="auto"/>
        </w:rPr>
        <w:fldChar w:fldCharType="end"/>
      </w:r>
      <w:r>
        <w:rPr>
          <w:rFonts w:hint="default" w:ascii="Times New Roman" w:hAnsi="Times New Roman" w:cs="Times New Roman"/>
          <w:color w:val="auto"/>
        </w:rPr>
        <w:fldChar w:fldCharType="end"/>
      </w:r>
    </w:p>
    <w:p w14:paraId="1FDCAF2B">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_Toc23731 </w:instrText>
      </w:r>
      <w:r>
        <w:rPr>
          <w:rFonts w:hint="default" w:ascii="Times New Roman" w:hAnsi="Times New Roman" w:cs="Times New Roman"/>
          <w:color w:val="auto"/>
        </w:rPr>
        <w:fldChar w:fldCharType="separate"/>
      </w:r>
      <w:r>
        <w:rPr>
          <w:rFonts w:hint="eastAsia"/>
          <w:color w:val="auto"/>
          <w:lang w:val="en-US" w:eastAsia="zh-CN"/>
        </w:rPr>
        <w:t>7.2.4 建筑垃圾处置规划</w:t>
      </w:r>
      <w:r>
        <w:rPr>
          <w:color w:val="auto"/>
        </w:rPr>
        <w:tab/>
      </w:r>
      <w:r>
        <w:rPr>
          <w:color w:val="auto"/>
        </w:rPr>
        <w:fldChar w:fldCharType="begin"/>
      </w:r>
      <w:r>
        <w:rPr>
          <w:color w:val="auto"/>
        </w:rPr>
        <w:instrText xml:space="preserve"> PAGEREF _Toc23731 \h </w:instrText>
      </w:r>
      <w:r>
        <w:rPr>
          <w:color w:val="auto"/>
        </w:rPr>
        <w:fldChar w:fldCharType="separate"/>
      </w:r>
      <w:r>
        <w:rPr>
          <w:color w:val="auto"/>
        </w:rPr>
        <w:t>28</w:t>
      </w:r>
      <w:r>
        <w:rPr>
          <w:color w:val="auto"/>
        </w:rPr>
        <w:fldChar w:fldCharType="end"/>
      </w:r>
      <w:r>
        <w:rPr>
          <w:rFonts w:hint="default" w:ascii="Times New Roman" w:hAnsi="Times New Roman" w:cs="Times New Roman"/>
          <w:color w:val="auto"/>
        </w:rPr>
        <w:fldChar w:fldCharType="end"/>
      </w:r>
    </w:p>
    <w:p w14:paraId="09F6BA76">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_Toc1005 </w:instrText>
      </w:r>
      <w:r>
        <w:rPr>
          <w:rFonts w:hint="default" w:ascii="Times New Roman" w:hAnsi="Times New Roman" w:cs="Times New Roman"/>
          <w:color w:val="auto"/>
        </w:rPr>
        <w:fldChar w:fldCharType="separate"/>
      </w:r>
      <w:r>
        <w:rPr>
          <w:rFonts w:hint="eastAsia"/>
          <w:color w:val="auto"/>
          <w:lang w:val="en-US" w:eastAsia="zh-CN"/>
        </w:rPr>
        <w:t>7.3 建筑垃圾利用及处置设施规划</w:t>
      </w:r>
      <w:r>
        <w:rPr>
          <w:color w:val="auto"/>
        </w:rPr>
        <w:tab/>
      </w:r>
      <w:r>
        <w:rPr>
          <w:color w:val="auto"/>
        </w:rPr>
        <w:fldChar w:fldCharType="begin"/>
      </w:r>
      <w:r>
        <w:rPr>
          <w:color w:val="auto"/>
        </w:rPr>
        <w:instrText xml:space="preserve"> PAGEREF _Toc1005 \h </w:instrText>
      </w:r>
      <w:r>
        <w:rPr>
          <w:color w:val="auto"/>
        </w:rPr>
        <w:fldChar w:fldCharType="separate"/>
      </w:r>
      <w:r>
        <w:rPr>
          <w:color w:val="auto"/>
        </w:rPr>
        <w:t>29</w:t>
      </w:r>
      <w:r>
        <w:rPr>
          <w:color w:val="auto"/>
        </w:rPr>
        <w:fldChar w:fldCharType="end"/>
      </w:r>
      <w:r>
        <w:rPr>
          <w:rFonts w:hint="default" w:ascii="Times New Roman" w:hAnsi="Times New Roman" w:cs="Times New Roman"/>
          <w:color w:val="auto"/>
        </w:rPr>
        <w:fldChar w:fldCharType="end"/>
      </w:r>
    </w:p>
    <w:p w14:paraId="67EC4CFD">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_Toc20415 </w:instrText>
      </w:r>
      <w:r>
        <w:rPr>
          <w:rFonts w:hint="default" w:ascii="Times New Roman" w:hAnsi="Times New Roman" w:cs="Times New Roman"/>
          <w:color w:val="auto"/>
        </w:rPr>
        <w:fldChar w:fldCharType="separate"/>
      </w:r>
      <w:r>
        <w:rPr>
          <w:rFonts w:hint="eastAsia"/>
          <w:color w:val="auto"/>
          <w:lang w:val="en-US" w:eastAsia="zh-CN"/>
        </w:rPr>
        <w:t>7.3.1 建筑垃圾资源化厂规划</w:t>
      </w:r>
      <w:r>
        <w:rPr>
          <w:color w:val="auto"/>
        </w:rPr>
        <w:tab/>
      </w:r>
      <w:r>
        <w:rPr>
          <w:color w:val="auto"/>
        </w:rPr>
        <w:fldChar w:fldCharType="begin"/>
      </w:r>
      <w:r>
        <w:rPr>
          <w:color w:val="auto"/>
        </w:rPr>
        <w:instrText xml:space="preserve"> PAGEREF _Toc20415 \h </w:instrText>
      </w:r>
      <w:r>
        <w:rPr>
          <w:color w:val="auto"/>
        </w:rPr>
        <w:fldChar w:fldCharType="separate"/>
      </w:r>
      <w:r>
        <w:rPr>
          <w:color w:val="auto"/>
        </w:rPr>
        <w:t>29</w:t>
      </w:r>
      <w:r>
        <w:rPr>
          <w:color w:val="auto"/>
        </w:rPr>
        <w:fldChar w:fldCharType="end"/>
      </w:r>
      <w:r>
        <w:rPr>
          <w:rFonts w:hint="default" w:ascii="Times New Roman" w:hAnsi="Times New Roman" w:cs="Times New Roman"/>
          <w:color w:val="auto"/>
        </w:rPr>
        <w:fldChar w:fldCharType="end"/>
      </w:r>
    </w:p>
    <w:p w14:paraId="5819659D">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_Toc10169 </w:instrText>
      </w:r>
      <w:r>
        <w:rPr>
          <w:rFonts w:hint="default" w:ascii="Times New Roman" w:hAnsi="Times New Roman" w:cs="Times New Roman"/>
          <w:color w:val="auto"/>
        </w:rPr>
        <w:fldChar w:fldCharType="separate"/>
      </w:r>
      <w:r>
        <w:rPr>
          <w:rFonts w:hint="eastAsia"/>
          <w:color w:val="auto"/>
          <w:lang w:val="en-US" w:eastAsia="zh-CN"/>
        </w:rPr>
        <w:t>7.3.2 建筑垃圾转运调配设施规划</w:t>
      </w:r>
      <w:r>
        <w:rPr>
          <w:color w:val="auto"/>
        </w:rPr>
        <w:tab/>
      </w:r>
      <w:r>
        <w:rPr>
          <w:color w:val="auto"/>
        </w:rPr>
        <w:fldChar w:fldCharType="begin"/>
      </w:r>
      <w:r>
        <w:rPr>
          <w:color w:val="auto"/>
        </w:rPr>
        <w:instrText xml:space="preserve"> PAGEREF _Toc10169 \h </w:instrText>
      </w:r>
      <w:r>
        <w:rPr>
          <w:color w:val="auto"/>
        </w:rPr>
        <w:fldChar w:fldCharType="separate"/>
      </w:r>
      <w:r>
        <w:rPr>
          <w:color w:val="auto"/>
        </w:rPr>
        <w:t>31</w:t>
      </w:r>
      <w:r>
        <w:rPr>
          <w:color w:val="auto"/>
        </w:rPr>
        <w:fldChar w:fldCharType="end"/>
      </w:r>
      <w:r>
        <w:rPr>
          <w:rFonts w:hint="default" w:ascii="Times New Roman" w:hAnsi="Times New Roman" w:cs="Times New Roman"/>
          <w:color w:val="auto"/>
        </w:rPr>
        <w:fldChar w:fldCharType="end"/>
      </w:r>
    </w:p>
    <w:p w14:paraId="2A72C78F">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_Toc11684 </w:instrText>
      </w:r>
      <w:r>
        <w:rPr>
          <w:rFonts w:hint="default" w:ascii="Times New Roman" w:hAnsi="Times New Roman" w:cs="Times New Roman"/>
          <w:color w:val="auto"/>
        </w:rPr>
        <w:fldChar w:fldCharType="separate"/>
      </w:r>
      <w:r>
        <w:rPr>
          <w:rFonts w:hint="eastAsia"/>
          <w:color w:val="auto"/>
          <w:lang w:val="en-US" w:eastAsia="zh-CN"/>
        </w:rPr>
        <w:t>7.3.3 临时建筑垃圾转运调配场规划</w:t>
      </w:r>
      <w:r>
        <w:rPr>
          <w:color w:val="auto"/>
        </w:rPr>
        <w:tab/>
      </w:r>
      <w:r>
        <w:rPr>
          <w:color w:val="auto"/>
        </w:rPr>
        <w:fldChar w:fldCharType="begin"/>
      </w:r>
      <w:r>
        <w:rPr>
          <w:color w:val="auto"/>
        </w:rPr>
        <w:instrText xml:space="preserve"> PAGEREF _Toc11684 \h </w:instrText>
      </w:r>
      <w:r>
        <w:rPr>
          <w:color w:val="auto"/>
        </w:rPr>
        <w:fldChar w:fldCharType="separate"/>
      </w:r>
      <w:r>
        <w:rPr>
          <w:color w:val="auto"/>
        </w:rPr>
        <w:t>32</w:t>
      </w:r>
      <w:r>
        <w:rPr>
          <w:color w:val="auto"/>
        </w:rPr>
        <w:fldChar w:fldCharType="end"/>
      </w:r>
      <w:r>
        <w:rPr>
          <w:rFonts w:hint="default" w:ascii="Times New Roman" w:hAnsi="Times New Roman" w:cs="Times New Roman"/>
          <w:color w:val="auto"/>
        </w:rPr>
        <w:fldChar w:fldCharType="end"/>
      </w:r>
    </w:p>
    <w:p w14:paraId="761D74C0">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_Toc29128 </w:instrText>
      </w:r>
      <w:r>
        <w:rPr>
          <w:rFonts w:hint="default" w:ascii="Times New Roman" w:hAnsi="Times New Roman" w:cs="Times New Roman"/>
          <w:color w:val="auto"/>
        </w:rPr>
        <w:fldChar w:fldCharType="separate"/>
      </w:r>
      <w:r>
        <w:rPr>
          <w:rFonts w:hint="eastAsia"/>
          <w:color w:val="auto"/>
          <w:lang w:val="en-US" w:eastAsia="zh-CN"/>
        </w:rPr>
        <w:t>7.4 环境保护防控措施</w:t>
      </w:r>
      <w:r>
        <w:rPr>
          <w:color w:val="auto"/>
        </w:rPr>
        <w:tab/>
      </w:r>
      <w:r>
        <w:rPr>
          <w:color w:val="auto"/>
        </w:rPr>
        <w:fldChar w:fldCharType="begin"/>
      </w:r>
      <w:r>
        <w:rPr>
          <w:color w:val="auto"/>
        </w:rPr>
        <w:instrText xml:space="preserve"> PAGEREF _Toc29128 \h </w:instrText>
      </w:r>
      <w:r>
        <w:rPr>
          <w:color w:val="auto"/>
        </w:rPr>
        <w:fldChar w:fldCharType="separate"/>
      </w:r>
      <w:r>
        <w:rPr>
          <w:color w:val="auto"/>
        </w:rPr>
        <w:t>32</w:t>
      </w:r>
      <w:r>
        <w:rPr>
          <w:color w:val="auto"/>
        </w:rPr>
        <w:fldChar w:fldCharType="end"/>
      </w:r>
      <w:r>
        <w:rPr>
          <w:rFonts w:hint="default" w:ascii="Times New Roman" w:hAnsi="Times New Roman" w:cs="Times New Roman"/>
          <w:color w:val="auto"/>
        </w:rPr>
        <w:fldChar w:fldCharType="end"/>
      </w:r>
    </w:p>
    <w:p w14:paraId="4692A78D">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_Toc25951 </w:instrText>
      </w:r>
      <w:r>
        <w:rPr>
          <w:rFonts w:hint="default" w:ascii="Times New Roman" w:hAnsi="Times New Roman" w:cs="Times New Roman"/>
          <w:color w:val="auto"/>
        </w:rPr>
        <w:fldChar w:fldCharType="separate"/>
      </w:r>
      <w:r>
        <w:rPr>
          <w:rFonts w:hint="eastAsia" w:ascii="Times New Roman" w:hAnsi="Times New Roman" w:eastAsia="宋体" w:cs="Arial"/>
          <w:snapToGrid w:val="0"/>
          <w:color w:val="auto"/>
          <w:kern w:val="0"/>
          <w:szCs w:val="21"/>
          <w:lang w:val="en-US" w:eastAsia="zh-CN"/>
        </w:rPr>
        <w:t>7.4.1 大气环境污染防控措施</w:t>
      </w:r>
      <w:r>
        <w:rPr>
          <w:color w:val="auto"/>
        </w:rPr>
        <w:tab/>
      </w:r>
      <w:r>
        <w:rPr>
          <w:color w:val="auto"/>
        </w:rPr>
        <w:fldChar w:fldCharType="begin"/>
      </w:r>
      <w:r>
        <w:rPr>
          <w:color w:val="auto"/>
        </w:rPr>
        <w:instrText xml:space="preserve"> PAGEREF _Toc25951 \h </w:instrText>
      </w:r>
      <w:r>
        <w:rPr>
          <w:color w:val="auto"/>
        </w:rPr>
        <w:fldChar w:fldCharType="separate"/>
      </w:r>
      <w:r>
        <w:rPr>
          <w:color w:val="auto"/>
        </w:rPr>
        <w:t>32</w:t>
      </w:r>
      <w:r>
        <w:rPr>
          <w:color w:val="auto"/>
        </w:rPr>
        <w:fldChar w:fldCharType="end"/>
      </w:r>
      <w:r>
        <w:rPr>
          <w:rFonts w:hint="default" w:ascii="Times New Roman" w:hAnsi="Times New Roman" w:cs="Times New Roman"/>
          <w:color w:val="auto"/>
        </w:rPr>
        <w:fldChar w:fldCharType="end"/>
      </w:r>
    </w:p>
    <w:p w14:paraId="5983A2A8">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_Toc17797 </w:instrText>
      </w:r>
      <w:r>
        <w:rPr>
          <w:rFonts w:hint="default" w:ascii="Times New Roman" w:hAnsi="Times New Roman" w:cs="Times New Roman"/>
          <w:color w:val="auto"/>
        </w:rPr>
        <w:fldChar w:fldCharType="separate"/>
      </w:r>
      <w:r>
        <w:rPr>
          <w:rFonts w:hint="eastAsia" w:ascii="Times New Roman" w:hAnsi="Times New Roman" w:eastAsia="宋体" w:cs="Arial"/>
          <w:snapToGrid w:val="0"/>
          <w:color w:val="auto"/>
          <w:kern w:val="0"/>
          <w:szCs w:val="21"/>
          <w:lang w:val="en-US" w:eastAsia="zh-CN"/>
        </w:rPr>
        <w:t>7.4.2 水环境污染防控措施</w:t>
      </w:r>
      <w:r>
        <w:rPr>
          <w:color w:val="auto"/>
        </w:rPr>
        <w:tab/>
      </w:r>
      <w:r>
        <w:rPr>
          <w:color w:val="auto"/>
        </w:rPr>
        <w:fldChar w:fldCharType="begin"/>
      </w:r>
      <w:r>
        <w:rPr>
          <w:color w:val="auto"/>
        </w:rPr>
        <w:instrText xml:space="preserve"> PAGEREF _Toc17797 \h </w:instrText>
      </w:r>
      <w:r>
        <w:rPr>
          <w:color w:val="auto"/>
        </w:rPr>
        <w:fldChar w:fldCharType="separate"/>
      </w:r>
      <w:r>
        <w:rPr>
          <w:color w:val="auto"/>
        </w:rPr>
        <w:t>32</w:t>
      </w:r>
      <w:r>
        <w:rPr>
          <w:color w:val="auto"/>
        </w:rPr>
        <w:fldChar w:fldCharType="end"/>
      </w:r>
      <w:r>
        <w:rPr>
          <w:rFonts w:hint="default" w:ascii="Times New Roman" w:hAnsi="Times New Roman" w:cs="Times New Roman"/>
          <w:color w:val="auto"/>
        </w:rPr>
        <w:fldChar w:fldCharType="end"/>
      </w:r>
    </w:p>
    <w:p w14:paraId="5C0EE0FB">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_Toc17285 </w:instrText>
      </w:r>
      <w:r>
        <w:rPr>
          <w:rFonts w:hint="default" w:ascii="Times New Roman" w:hAnsi="Times New Roman" w:cs="Times New Roman"/>
          <w:color w:val="auto"/>
        </w:rPr>
        <w:fldChar w:fldCharType="separate"/>
      </w:r>
      <w:r>
        <w:rPr>
          <w:rFonts w:hint="eastAsia" w:ascii="Times New Roman" w:hAnsi="Times New Roman" w:eastAsia="宋体" w:cs="Arial"/>
          <w:snapToGrid w:val="0"/>
          <w:color w:val="auto"/>
          <w:kern w:val="0"/>
          <w:szCs w:val="21"/>
          <w:lang w:val="en-US" w:eastAsia="zh-CN"/>
        </w:rPr>
        <w:t>7.4.3 噪声环境污染防控措施</w:t>
      </w:r>
      <w:r>
        <w:rPr>
          <w:color w:val="auto"/>
        </w:rPr>
        <w:tab/>
      </w:r>
      <w:r>
        <w:rPr>
          <w:color w:val="auto"/>
        </w:rPr>
        <w:fldChar w:fldCharType="begin"/>
      </w:r>
      <w:r>
        <w:rPr>
          <w:color w:val="auto"/>
        </w:rPr>
        <w:instrText xml:space="preserve"> PAGEREF _Toc17285 \h </w:instrText>
      </w:r>
      <w:r>
        <w:rPr>
          <w:color w:val="auto"/>
        </w:rPr>
        <w:fldChar w:fldCharType="separate"/>
      </w:r>
      <w:r>
        <w:rPr>
          <w:color w:val="auto"/>
        </w:rPr>
        <w:t>32</w:t>
      </w:r>
      <w:r>
        <w:rPr>
          <w:color w:val="auto"/>
        </w:rPr>
        <w:fldChar w:fldCharType="end"/>
      </w:r>
      <w:r>
        <w:rPr>
          <w:rFonts w:hint="default" w:ascii="Times New Roman" w:hAnsi="Times New Roman" w:cs="Times New Roman"/>
          <w:color w:val="auto"/>
        </w:rPr>
        <w:fldChar w:fldCharType="end"/>
      </w:r>
    </w:p>
    <w:p w14:paraId="40958217">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_Toc16543 </w:instrText>
      </w:r>
      <w:r>
        <w:rPr>
          <w:rFonts w:hint="default" w:ascii="Times New Roman" w:hAnsi="Times New Roman" w:cs="Times New Roman"/>
          <w:color w:val="auto"/>
        </w:rPr>
        <w:fldChar w:fldCharType="separate"/>
      </w:r>
      <w:r>
        <w:rPr>
          <w:rFonts w:hint="eastAsia" w:ascii="Times New Roman" w:hAnsi="Times New Roman" w:eastAsia="宋体" w:cs="Arial"/>
          <w:snapToGrid w:val="0"/>
          <w:color w:val="auto"/>
          <w:kern w:val="0"/>
          <w:szCs w:val="21"/>
          <w:lang w:val="en-US" w:eastAsia="zh-CN"/>
        </w:rPr>
        <w:t>7.4.4 土壤环境污染防控措施</w:t>
      </w:r>
      <w:r>
        <w:rPr>
          <w:color w:val="auto"/>
        </w:rPr>
        <w:tab/>
      </w:r>
      <w:r>
        <w:rPr>
          <w:color w:val="auto"/>
        </w:rPr>
        <w:fldChar w:fldCharType="begin"/>
      </w:r>
      <w:r>
        <w:rPr>
          <w:color w:val="auto"/>
        </w:rPr>
        <w:instrText xml:space="preserve"> PAGEREF _Toc16543 \h </w:instrText>
      </w:r>
      <w:r>
        <w:rPr>
          <w:color w:val="auto"/>
        </w:rPr>
        <w:fldChar w:fldCharType="separate"/>
      </w:r>
      <w:r>
        <w:rPr>
          <w:color w:val="auto"/>
        </w:rPr>
        <w:t>32</w:t>
      </w:r>
      <w:r>
        <w:rPr>
          <w:color w:val="auto"/>
        </w:rPr>
        <w:fldChar w:fldCharType="end"/>
      </w:r>
      <w:r>
        <w:rPr>
          <w:rFonts w:hint="default" w:ascii="Times New Roman" w:hAnsi="Times New Roman" w:cs="Times New Roman"/>
          <w:color w:val="auto"/>
        </w:rPr>
        <w:fldChar w:fldCharType="end"/>
      </w:r>
    </w:p>
    <w:p w14:paraId="118D5FD8">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_Toc11443 </w:instrText>
      </w:r>
      <w:r>
        <w:rPr>
          <w:rFonts w:hint="default" w:ascii="Times New Roman" w:hAnsi="Times New Roman" w:cs="Times New Roman"/>
          <w:color w:val="auto"/>
        </w:rPr>
        <w:fldChar w:fldCharType="separate"/>
      </w:r>
      <w:r>
        <w:rPr>
          <w:rFonts w:hint="eastAsia"/>
          <w:color w:val="auto"/>
          <w:lang w:val="en-US" w:eastAsia="zh-CN"/>
        </w:rPr>
        <w:t>第八章 建筑垃圾存量治理规划</w:t>
      </w:r>
      <w:r>
        <w:rPr>
          <w:color w:val="auto"/>
        </w:rPr>
        <w:tab/>
      </w:r>
      <w:r>
        <w:rPr>
          <w:color w:val="auto"/>
        </w:rPr>
        <w:fldChar w:fldCharType="begin"/>
      </w:r>
      <w:r>
        <w:rPr>
          <w:color w:val="auto"/>
        </w:rPr>
        <w:instrText xml:space="preserve"> PAGEREF _Toc11443 \h </w:instrText>
      </w:r>
      <w:r>
        <w:rPr>
          <w:color w:val="auto"/>
        </w:rPr>
        <w:fldChar w:fldCharType="separate"/>
      </w:r>
      <w:r>
        <w:rPr>
          <w:color w:val="auto"/>
        </w:rPr>
        <w:t>34</w:t>
      </w:r>
      <w:r>
        <w:rPr>
          <w:color w:val="auto"/>
        </w:rPr>
        <w:fldChar w:fldCharType="end"/>
      </w:r>
      <w:r>
        <w:rPr>
          <w:rFonts w:hint="default" w:ascii="Times New Roman" w:hAnsi="Times New Roman" w:cs="Times New Roman"/>
          <w:color w:val="auto"/>
        </w:rPr>
        <w:fldChar w:fldCharType="end"/>
      </w:r>
    </w:p>
    <w:p w14:paraId="188F19D8">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_Toc9284 </w:instrText>
      </w:r>
      <w:r>
        <w:rPr>
          <w:rFonts w:hint="default" w:ascii="Times New Roman" w:hAnsi="Times New Roman" w:cs="Times New Roman"/>
          <w:color w:val="auto"/>
        </w:rPr>
        <w:fldChar w:fldCharType="separate"/>
      </w:r>
      <w:r>
        <w:rPr>
          <w:rFonts w:hint="eastAsia"/>
          <w:color w:val="auto"/>
          <w:lang w:val="en-US" w:eastAsia="zh-CN"/>
        </w:rPr>
        <w:t>8.1 存量建筑垃圾现状分析</w:t>
      </w:r>
      <w:r>
        <w:rPr>
          <w:color w:val="auto"/>
        </w:rPr>
        <w:tab/>
      </w:r>
      <w:r>
        <w:rPr>
          <w:color w:val="auto"/>
        </w:rPr>
        <w:fldChar w:fldCharType="begin"/>
      </w:r>
      <w:r>
        <w:rPr>
          <w:color w:val="auto"/>
        </w:rPr>
        <w:instrText xml:space="preserve"> PAGEREF _Toc9284 \h </w:instrText>
      </w:r>
      <w:r>
        <w:rPr>
          <w:color w:val="auto"/>
        </w:rPr>
        <w:fldChar w:fldCharType="separate"/>
      </w:r>
      <w:r>
        <w:rPr>
          <w:color w:val="auto"/>
        </w:rPr>
        <w:t>34</w:t>
      </w:r>
      <w:r>
        <w:rPr>
          <w:color w:val="auto"/>
        </w:rPr>
        <w:fldChar w:fldCharType="end"/>
      </w:r>
      <w:r>
        <w:rPr>
          <w:rFonts w:hint="default" w:ascii="Times New Roman" w:hAnsi="Times New Roman" w:cs="Times New Roman"/>
          <w:color w:val="auto"/>
        </w:rPr>
        <w:fldChar w:fldCharType="end"/>
      </w:r>
    </w:p>
    <w:p w14:paraId="1025DD82">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_Toc6230 </w:instrText>
      </w:r>
      <w:r>
        <w:rPr>
          <w:rFonts w:hint="default" w:ascii="Times New Roman" w:hAnsi="Times New Roman" w:cs="Times New Roman"/>
          <w:color w:val="auto"/>
        </w:rPr>
        <w:fldChar w:fldCharType="separate"/>
      </w:r>
      <w:r>
        <w:rPr>
          <w:rFonts w:hint="eastAsia"/>
          <w:color w:val="auto"/>
          <w:lang w:val="en-US" w:eastAsia="zh-CN"/>
        </w:rPr>
        <w:t>8.2 存量治理工作机制</w:t>
      </w:r>
      <w:r>
        <w:rPr>
          <w:color w:val="auto"/>
        </w:rPr>
        <w:tab/>
      </w:r>
      <w:r>
        <w:rPr>
          <w:color w:val="auto"/>
        </w:rPr>
        <w:fldChar w:fldCharType="begin"/>
      </w:r>
      <w:r>
        <w:rPr>
          <w:color w:val="auto"/>
        </w:rPr>
        <w:instrText xml:space="preserve"> PAGEREF _Toc6230 \h </w:instrText>
      </w:r>
      <w:r>
        <w:rPr>
          <w:color w:val="auto"/>
        </w:rPr>
        <w:fldChar w:fldCharType="separate"/>
      </w:r>
      <w:r>
        <w:rPr>
          <w:color w:val="auto"/>
        </w:rPr>
        <w:t>34</w:t>
      </w:r>
      <w:r>
        <w:rPr>
          <w:color w:val="auto"/>
        </w:rPr>
        <w:fldChar w:fldCharType="end"/>
      </w:r>
      <w:r>
        <w:rPr>
          <w:rFonts w:hint="default" w:ascii="Times New Roman" w:hAnsi="Times New Roman" w:cs="Times New Roman"/>
          <w:color w:val="auto"/>
        </w:rPr>
        <w:fldChar w:fldCharType="end"/>
      </w:r>
    </w:p>
    <w:p w14:paraId="40391782">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_Toc16700 </w:instrText>
      </w:r>
      <w:r>
        <w:rPr>
          <w:rFonts w:hint="default" w:ascii="Times New Roman" w:hAnsi="Times New Roman" w:cs="Times New Roman"/>
          <w:color w:val="auto"/>
        </w:rPr>
        <w:fldChar w:fldCharType="separate"/>
      </w:r>
      <w:r>
        <w:rPr>
          <w:rFonts w:hint="eastAsia"/>
          <w:color w:val="auto"/>
          <w:lang w:val="en-US" w:eastAsia="zh-CN"/>
        </w:rPr>
        <w:t>8.2.1 强化管理闭环</w:t>
      </w:r>
      <w:r>
        <w:rPr>
          <w:color w:val="auto"/>
        </w:rPr>
        <w:tab/>
      </w:r>
      <w:r>
        <w:rPr>
          <w:color w:val="auto"/>
        </w:rPr>
        <w:fldChar w:fldCharType="begin"/>
      </w:r>
      <w:r>
        <w:rPr>
          <w:color w:val="auto"/>
        </w:rPr>
        <w:instrText xml:space="preserve"> PAGEREF _Toc16700 \h </w:instrText>
      </w:r>
      <w:r>
        <w:rPr>
          <w:color w:val="auto"/>
        </w:rPr>
        <w:fldChar w:fldCharType="separate"/>
      </w:r>
      <w:r>
        <w:rPr>
          <w:color w:val="auto"/>
        </w:rPr>
        <w:t>34</w:t>
      </w:r>
      <w:r>
        <w:rPr>
          <w:color w:val="auto"/>
        </w:rPr>
        <w:fldChar w:fldCharType="end"/>
      </w:r>
      <w:r>
        <w:rPr>
          <w:rFonts w:hint="default" w:ascii="Times New Roman" w:hAnsi="Times New Roman" w:cs="Times New Roman"/>
          <w:color w:val="auto"/>
        </w:rPr>
        <w:fldChar w:fldCharType="end"/>
      </w:r>
    </w:p>
    <w:p w14:paraId="22106159">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_Toc14056 </w:instrText>
      </w:r>
      <w:r>
        <w:rPr>
          <w:rFonts w:hint="default" w:ascii="Times New Roman" w:hAnsi="Times New Roman" w:cs="Times New Roman"/>
          <w:color w:val="auto"/>
        </w:rPr>
        <w:fldChar w:fldCharType="separate"/>
      </w:r>
      <w:r>
        <w:rPr>
          <w:rFonts w:hint="default"/>
          <w:color w:val="auto"/>
          <w:lang w:val="en-US" w:eastAsia="zh-CN"/>
        </w:rPr>
        <w:t>8.2.2 健全执法监督</w:t>
      </w:r>
      <w:r>
        <w:rPr>
          <w:color w:val="auto"/>
        </w:rPr>
        <w:tab/>
      </w:r>
      <w:r>
        <w:rPr>
          <w:color w:val="auto"/>
        </w:rPr>
        <w:fldChar w:fldCharType="begin"/>
      </w:r>
      <w:r>
        <w:rPr>
          <w:color w:val="auto"/>
        </w:rPr>
        <w:instrText xml:space="preserve"> PAGEREF _Toc14056 \h </w:instrText>
      </w:r>
      <w:r>
        <w:rPr>
          <w:color w:val="auto"/>
        </w:rPr>
        <w:fldChar w:fldCharType="separate"/>
      </w:r>
      <w:r>
        <w:rPr>
          <w:color w:val="auto"/>
        </w:rPr>
        <w:t>34</w:t>
      </w:r>
      <w:r>
        <w:rPr>
          <w:color w:val="auto"/>
        </w:rPr>
        <w:fldChar w:fldCharType="end"/>
      </w:r>
      <w:r>
        <w:rPr>
          <w:rFonts w:hint="default" w:ascii="Times New Roman" w:hAnsi="Times New Roman" w:cs="Times New Roman"/>
          <w:color w:val="auto"/>
        </w:rPr>
        <w:fldChar w:fldCharType="end"/>
      </w:r>
    </w:p>
    <w:p w14:paraId="46205B9A">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_Toc17856 </w:instrText>
      </w:r>
      <w:r>
        <w:rPr>
          <w:rFonts w:hint="default" w:ascii="Times New Roman" w:hAnsi="Times New Roman" w:cs="Times New Roman"/>
          <w:color w:val="auto"/>
        </w:rPr>
        <w:fldChar w:fldCharType="separate"/>
      </w:r>
      <w:r>
        <w:rPr>
          <w:rFonts w:hint="eastAsia"/>
          <w:color w:val="auto"/>
          <w:lang w:val="en-US" w:eastAsia="zh-CN"/>
        </w:rPr>
        <w:t>8.2.3 加强宣传引导</w:t>
      </w:r>
      <w:r>
        <w:rPr>
          <w:color w:val="auto"/>
        </w:rPr>
        <w:tab/>
      </w:r>
      <w:r>
        <w:rPr>
          <w:color w:val="auto"/>
        </w:rPr>
        <w:fldChar w:fldCharType="begin"/>
      </w:r>
      <w:r>
        <w:rPr>
          <w:color w:val="auto"/>
        </w:rPr>
        <w:instrText xml:space="preserve"> PAGEREF _Toc17856 \h </w:instrText>
      </w:r>
      <w:r>
        <w:rPr>
          <w:color w:val="auto"/>
        </w:rPr>
        <w:fldChar w:fldCharType="separate"/>
      </w:r>
      <w:r>
        <w:rPr>
          <w:color w:val="auto"/>
        </w:rPr>
        <w:t>34</w:t>
      </w:r>
      <w:r>
        <w:rPr>
          <w:color w:val="auto"/>
        </w:rPr>
        <w:fldChar w:fldCharType="end"/>
      </w:r>
      <w:r>
        <w:rPr>
          <w:rFonts w:hint="default" w:ascii="Times New Roman" w:hAnsi="Times New Roman" w:cs="Times New Roman"/>
          <w:color w:val="auto"/>
        </w:rPr>
        <w:fldChar w:fldCharType="end"/>
      </w:r>
    </w:p>
    <w:p w14:paraId="51E385CF">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_Toc18126 </w:instrText>
      </w:r>
      <w:r>
        <w:rPr>
          <w:rFonts w:hint="default" w:ascii="Times New Roman" w:hAnsi="Times New Roman" w:cs="Times New Roman"/>
          <w:color w:val="auto"/>
        </w:rPr>
        <w:fldChar w:fldCharType="separate"/>
      </w:r>
      <w:r>
        <w:rPr>
          <w:rFonts w:hint="default"/>
          <w:color w:val="auto"/>
          <w:lang w:val="en-US" w:eastAsia="zh-CN"/>
        </w:rPr>
        <w:t>8.2.4 推进数字智治</w:t>
      </w:r>
      <w:r>
        <w:rPr>
          <w:color w:val="auto"/>
        </w:rPr>
        <w:tab/>
      </w:r>
      <w:r>
        <w:rPr>
          <w:color w:val="auto"/>
        </w:rPr>
        <w:fldChar w:fldCharType="begin"/>
      </w:r>
      <w:r>
        <w:rPr>
          <w:color w:val="auto"/>
        </w:rPr>
        <w:instrText xml:space="preserve"> PAGEREF _Toc18126 \h </w:instrText>
      </w:r>
      <w:r>
        <w:rPr>
          <w:color w:val="auto"/>
        </w:rPr>
        <w:fldChar w:fldCharType="separate"/>
      </w:r>
      <w:r>
        <w:rPr>
          <w:color w:val="auto"/>
        </w:rPr>
        <w:t>34</w:t>
      </w:r>
      <w:r>
        <w:rPr>
          <w:color w:val="auto"/>
        </w:rPr>
        <w:fldChar w:fldCharType="end"/>
      </w:r>
      <w:r>
        <w:rPr>
          <w:rFonts w:hint="default" w:ascii="Times New Roman" w:hAnsi="Times New Roman" w:cs="Times New Roman"/>
          <w:color w:val="auto"/>
        </w:rPr>
        <w:fldChar w:fldCharType="end"/>
      </w:r>
    </w:p>
    <w:p w14:paraId="7F21AB07">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_Toc846 </w:instrText>
      </w:r>
      <w:r>
        <w:rPr>
          <w:rFonts w:hint="default" w:ascii="Times New Roman" w:hAnsi="Times New Roman" w:cs="Times New Roman"/>
          <w:color w:val="auto"/>
        </w:rPr>
        <w:fldChar w:fldCharType="separate"/>
      </w:r>
      <w:r>
        <w:rPr>
          <w:rFonts w:hint="eastAsia"/>
          <w:color w:val="auto"/>
          <w:lang w:val="en-US" w:eastAsia="zh-CN"/>
        </w:rPr>
        <w:t>8.3 存量建筑垃圾治理计划</w:t>
      </w:r>
      <w:r>
        <w:rPr>
          <w:color w:val="auto"/>
        </w:rPr>
        <w:tab/>
      </w:r>
      <w:r>
        <w:rPr>
          <w:color w:val="auto"/>
        </w:rPr>
        <w:fldChar w:fldCharType="begin"/>
      </w:r>
      <w:r>
        <w:rPr>
          <w:color w:val="auto"/>
        </w:rPr>
        <w:instrText xml:space="preserve"> PAGEREF _Toc846 \h </w:instrText>
      </w:r>
      <w:r>
        <w:rPr>
          <w:color w:val="auto"/>
        </w:rPr>
        <w:fldChar w:fldCharType="separate"/>
      </w:r>
      <w:r>
        <w:rPr>
          <w:color w:val="auto"/>
        </w:rPr>
        <w:t>35</w:t>
      </w:r>
      <w:r>
        <w:rPr>
          <w:color w:val="auto"/>
        </w:rPr>
        <w:fldChar w:fldCharType="end"/>
      </w:r>
      <w:r>
        <w:rPr>
          <w:rFonts w:hint="default" w:ascii="Times New Roman" w:hAnsi="Times New Roman" w:cs="Times New Roman"/>
          <w:color w:val="auto"/>
        </w:rPr>
        <w:fldChar w:fldCharType="end"/>
      </w:r>
    </w:p>
    <w:p w14:paraId="3F9754DC">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_Toc30082 </w:instrText>
      </w:r>
      <w:r>
        <w:rPr>
          <w:rFonts w:hint="default" w:ascii="Times New Roman" w:hAnsi="Times New Roman" w:cs="Times New Roman"/>
          <w:color w:val="auto"/>
        </w:rPr>
        <w:fldChar w:fldCharType="separate"/>
      </w:r>
      <w:r>
        <w:rPr>
          <w:rFonts w:hint="eastAsia"/>
          <w:color w:val="auto"/>
          <w:lang w:val="en-US" w:eastAsia="zh-CN"/>
        </w:rPr>
        <w:t>8.4 存量治理要求</w:t>
      </w:r>
      <w:r>
        <w:rPr>
          <w:color w:val="auto"/>
        </w:rPr>
        <w:tab/>
      </w:r>
      <w:r>
        <w:rPr>
          <w:color w:val="auto"/>
        </w:rPr>
        <w:fldChar w:fldCharType="begin"/>
      </w:r>
      <w:r>
        <w:rPr>
          <w:color w:val="auto"/>
        </w:rPr>
        <w:instrText xml:space="preserve"> PAGEREF _Toc30082 \h </w:instrText>
      </w:r>
      <w:r>
        <w:rPr>
          <w:color w:val="auto"/>
        </w:rPr>
        <w:fldChar w:fldCharType="separate"/>
      </w:r>
      <w:r>
        <w:rPr>
          <w:color w:val="auto"/>
        </w:rPr>
        <w:t>35</w:t>
      </w:r>
      <w:r>
        <w:rPr>
          <w:color w:val="auto"/>
        </w:rPr>
        <w:fldChar w:fldCharType="end"/>
      </w:r>
      <w:r>
        <w:rPr>
          <w:rFonts w:hint="default" w:ascii="Times New Roman" w:hAnsi="Times New Roman" w:cs="Times New Roman"/>
          <w:color w:val="auto"/>
        </w:rPr>
        <w:fldChar w:fldCharType="end"/>
      </w:r>
    </w:p>
    <w:p w14:paraId="4E2D9BD2">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_Toc13247 </w:instrText>
      </w:r>
      <w:r>
        <w:rPr>
          <w:rFonts w:hint="default" w:ascii="Times New Roman" w:hAnsi="Times New Roman" w:cs="Times New Roman"/>
          <w:color w:val="auto"/>
        </w:rPr>
        <w:fldChar w:fldCharType="separate"/>
      </w:r>
      <w:r>
        <w:rPr>
          <w:rFonts w:hint="default"/>
          <w:color w:val="auto"/>
          <w:lang w:val="en-US" w:eastAsia="zh-CN"/>
        </w:rPr>
        <w:t>第</w:t>
      </w:r>
      <w:r>
        <w:rPr>
          <w:rFonts w:hint="eastAsia"/>
          <w:color w:val="auto"/>
          <w:lang w:val="en-US" w:eastAsia="zh-CN"/>
        </w:rPr>
        <w:t>九</w:t>
      </w:r>
      <w:r>
        <w:rPr>
          <w:rFonts w:hint="default"/>
          <w:color w:val="auto"/>
          <w:lang w:val="en-US" w:eastAsia="zh-CN"/>
        </w:rPr>
        <w:t xml:space="preserve">章 </w:t>
      </w:r>
      <w:r>
        <w:rPr>
          <w:rFonts w:hint="eastAsia"/>
          <w:color w:val="auto"/>
          <w:lang w:val="en-US" w:eastAsia="zh-CN"/>
        </w:rPr>
        <w:t>建筑垃圾监督管理规划</w:t>
      </w:r>
      <w:r>
        <w:rPr>
          <w:color w:val="auto"/>
        </w:rPr>
        <w:tab/>
      </w:r>
      <w:r>
        <w:rPr>
          <w:color w:val="auto"/>
        </w:rPr>
        <w:fldChar w:fldCharType="begin"/>
      </w:r>
      <w:r>
        <w:rPr>
          <w:color w:val="auto"/>
        </w:rPr>
        <w:instrText xml:space="preserve"> PAGEREF _Toc13247 \h </w:instrText>
      </w:r>
      <w:r>
        <w:rPr>
          <w:color w:val="auto"/>
        </w:rPr>
        <w:fldChar w:fldCharType="separate"/>
      </w:r>
      <w:r>
        <w:rPr>
          <w:color w:val="auto"/>
        </w:rPr>
        <w:t>36</w:t>
      </w:r>
      <w:r>
        <w:rPr>
          <w:color w:val="auto"/>
        </w:rPr>
        <w:fldChar w:fldCharType="end"/>
      </w:r>
      <w:r>
        <w:rPr>
          <w:rFonts w:hint="default" w:ascii="Times New Roman" w:hAnsi="Times New Roman" w:cs="Times New Roman"/>
          <w:color w:val="auto"/>
        </w:rPr>
        <w:fldChar w:fldCharType="end"/>
      </w:r>
    </w:p>
    <w:p w14:paraId="4FF5E9F2">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_Toc22187 </w:instrText>
      </w:r>
      <w:r>
        <w:rPr>
          <w:rFonts w:hint="default" w:ascii="Times New Roman" w:hAnsi="Times New Roman" w:cs="Times New Roman"/>
          <w:color w:val="auto"/>
        </w:rPr>
        <w:fldChar w:fldCharType="separate"/>
      </w:r>
      <w:r>
        <w:rPr>
          <w:rFonts w:hint="eastAsia"/>
          <w:color w:val="auto"/>
          <w:lang w:val="en-US" w:eastAsia="zh-CN"/>
        </w:rPr>
        <w:t>9.1 建筑垃圾处置核准制度</w:t>
      </w:r>
      <w:r>
        <w:rPr>
          <w:color w:val="auto"/>
        </w:rPr>
        <w:tab/>
      </w:r>
      <w:r>
        <w:rPr>
          <w:color w:val="auto"/>
        </w:rPr>
        <w:fldChar w:fldCharType="begin"/>
      </w:r>
      <w:r>
        <w:rPr>
          <w:color w:val="auto"/>
        </w:rPr>
        <w:instrText xml:space="preserve"> PAGEREF _Toc22187 \h </w:instrText>
      </w:r>
      <w:r>
        <w:rPr>
          <w:color w:val="auto"/>
        </w:rPr>
        <w:fldChar w:fldCharType="separate"/>
      </w:r>
      <w:r>
        <w:rPr>
          <w:color w:val="auto"/>
        </w:rPr>
        <w:t>36</w:t>
      </w:r>
      <w:r>
        <w:rPr>
          <w:color w:val="auto"/>
        </w:rPr>
        <w:fldChar w:fldCharType="end"/>
      </w:r>
      <w:r>
        <w:rPr>
          <w:rFonts w:hint="default" w:ascii="Times New Roman" w:hAnsi="Times New Roman" w:cs="Times New Roman"/>
          <w:color w:val="auto"/>
        </w:rPr>
        <w:fldChar w:fldCharType="end"/>
      </w:r>
    </w:p>
    <w:p w14:paraId="26993511">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_Toc16492 </w:instrText>
      </w:r>
      <w:r>
        <w:rPr>
          <w:rFonts w:hint="default" w:ascii="Times New Roman" w:hAnsi="Times New Roman" w:cs="Times New Roman"/>
          <w:color w:val="auto"/>
        </w:rPr>
        <w:fldChar w:fldCharType="separate"/>
      </w:r>
      <w:r>
        <w:rPr>
          <w:rFonts w:hint="eastAsia"/>
          <w:color w:val="auto"/>
          <w:lang w:val="en-US" w:eastAsia="zh-CN"/>
        </w:rPr>
        <w:t>9.2 部门职责分工</w:t>
      </w:r>
      <w:r>
        <w:rPr>
          <w:color w:val="auto"/>
        </w:rPr>
        <w:tab/>
      </w:r>
      <w:r>
        <w:rPr>
          <w:color w:val="auto"/>
        </w:rPr>
        <w:fldChar w:fldCharType="begin"/>
      </w:r>
      <w:r>
        <w:rPr>
          <w:color w:val="auto"/>
        </w:rPr>
        <w:instrText xml:space="preserve"> PAGEREF _Toc16492 \h </w:instrText>
      </w:r>
      <w:r>
        <w:rPr>
          <w:color w:val="auto"/>
        </w:rPr>
        <w:fldChar w:fldCharType="separate"/>
      </w:r>
      <w:r>
        <w:rPr>
          <w:color w:val="auto"/>
        </w:rPr>
        <w:t>37</w:t>
      </w:r>
      <w:r>
        <w:rPr>
          <w:color w:val="auto"/>
        </w:rPr>
        <w:fldChar w:fldCharType="end"/>
      </w:r>
      <w:r>
        <w:rPr>
          <w:rFonts w:hint="default" w:ascii="Times New Roman" w:hAnsi="Times New Roman" w:cs="Times New Roman"/>
          <w:color w:val="auto"/>
        </w:rPr>
        <w:fldChar w:fldCharType="end"/>
      </w:r>
    </w:p>
    <w:p w14:paraId="2A93D92A">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_Toc2382 </w:instrText>
      </w:r>
      <w:r>
        <w:rPr>
          <w:rFonts w:hint="default" w:ascii="Times New Roman" w:hAnsi="Times New Roman" w:cs="Times New Roman"/>
          <w:color w:val="auto"/>
        </w:rPr>
        <w:fldChar w:fldCharType="separate"/>
      </w:r>
      <w:r>
        <w:rPr>
          <w:rFonts w:hint="eastAsia"/>
          <w:color w:val="auto"/>
          <w:lang w:val="en-US" w:eastAsia="zh-CN"/>
        </w:rPr>
        <w:t>9.3 全过程数字化治理建设</w:t>
      </w:r>
      <w:r>
        <w:rPr>
          <w:color w:val="auto"/>
        </w:rPr>
        <w:tab/>
      </w:r>
      <w:r>
        <w:rPr>
          <w:color w:val="auto"/>
        </w:rPr>
        <w:fldChar w:fldCharType="begin"/>
      </w:r>
      <w:r>
        <w:rPr>
          <w:color w:val="auto"/>
        </w:rPr>
        <w:instrText xml:space="preserve"> PAGEREF _Toc2382 \h </w:instrText>
      </w:r>
      <w:r>
        <w:rPr>
          <w:color w:val="auto"/>
        </w:rPr>
        <w:fldChar w:fldCharType="separate"/>
      </w:r>
      <w:r>
        <w:rPr>
          <w:color w:val="auto"/>
        </w:rPr>
        <w:t>38</w:t>
      </w:r>
      <w:r>
        <w:rPr>
          <w:color w:val="auto"/>
        </w:rPr>
        <w:fldChar w:fldCharType="end"/>
      </w:r>
      <w:r>
        <w:rPr>
          <w:rFonts w:hint="default" w:ascii="Times New Roman" w:hAnsi="Times New Roman" w:cs="Times New Roman"/>
          <w:color w:val="auto"/>
        </w:rPr>
        <w:fldChar w:fldCharType="end"/>
      </w:r>
    </w:p>
    <w:p w14:paraId="4A34FF2B">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_Toc25384 </w:instrText>
      </w:r>
      <w:r>
        <w:rPr>
          <w:rFonts w:hint="default" w:ascii="Times New Roman" w:hAnsi="Times New Roman" w:cs="Times New Roman"/>
          <w:color w:val="auto"/>
        </w:rPr>
        <w:fldChar w:fldCharType="separate"/>
      </w:r>
      <w:r>
        <w:rPr>
          <w:rFonts w:hint="eastAsia" w:ascii="Times New Roman" w:hAnsi="Times New Roman" w:eastAsia="宋体" w:cs="Arial"/>
          <w:snapToGrid w:val="0"/>
          <w:color w:val="auto"/>
          <w:kern w:val="0"/>
          <w:szCs w:val="21"/>
          <w:lang w:val="en-US" w:eastAsia="zh-CN"/>
        </w:rPr>
        <w:t>9.3.1 建设目标</w:t>
      </w:r>
      <w:r>
        <w:rPr>
          <w:color w:val="auto"/>
        </w:rPr>
        <w:tab/>
      </w:r>
      <w:r>
        <w:rPr>
          <w:color w:val="auto"/>
        </w:rPr>
        <w:fldChar w:fldCharType="begin"/>
      </w:r>
      <w:r>
        <w:rPr>
          <w:color w:val="auto"/>
        </w:rPr>
        <w:instrText xml:space="preserve"> PAGEREF _Toc25384 \h </w:instrText>
      </w:r>
      <w:r>
        <w:rPr>
          <w:color w:val="auto"/>
        </w:rPr>
        <w:fldChar w:fldCharType="separate"/>
      </w:r>
      <w:r>
        <w:rPr>
          <w:color w:val="auto"/>
        </w:rPr>
        <w:t>38</w:t>
      </w:r>
      <w:r>
        <w:rPr>
          <w:color w:val="auto"/>
        </w:rPr>
        <w:fldChar w:fldCharType="end"/>
      </w:r>
      <w:r>
        <w:rPr>
          <w:rFonts w:hint="default" w:ascii="Times New Roman" w:hAnsi="Times New Roman" w:cs="Times New Roman"/>
          <w:color w:val="auto"/>
        </w:rPr>
        <w:fldChar w:fldCharType="end"/>
      </w:r>
    </w:p>
    <w:p w14:paraId="10333563">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_Toc9030 </w:instrText>
      </w:r>
      <w:r>
        <w:rPr>
          <w:rFonts w:hint="default" w:ascii="Times New Roman" w:hAnsi="Times New Roman" w:cs="Times New Roman"/>
          <w:color w:val="auto"/>
        </w:rPr>
        <w:fldChar w:fldCharType="separate"/>
      </w:r>
      <w:r>
        <w:rPr>
          <w:rFonts w:hint="default" w:ascii="Times New Roman" w:hAnsi="Times New Roman" w:eastAsia="宋体" w:cs="Arial"/>
          <w:snapToGrid w:val="0"/>
          <w:color w:val="auto"/>
          <w:kern w:val="0"/>
          <w:szCs w:val="21"/>
          <w:lang w:val="en-US" w:eastAsia="zh-CN"/>
        </w:rPr>
        <w:t>9.</w:t>
      </w:r>
      <w:r>
        <w:rPr>
          <w:rFonts w:hint="eastAsia" w:ascii="Times New Roman" w:hAnsi="Times New Roman" w:eastAsia="宋体" w:cs="Arial"/>
          <w:snapToGrid w:val="0"/>
          <w:color w:val="auto"/>
          <w:kern w:val="0"/>
          <w:szCs w:val="21"/>
          <w:lang w:val="en-US" w:eastAsia="zh-CN"/>
        </w:rPr>
        <w:t>3</w:t>
      </w:r>
      <w:r>
        <w:rPr>
          <w:rFonts w:hint="default" w:ascii="Times New Roman" w:hAnsi="Times New Roman" w:eastAsia="宋体" w:cs="Arial"/>
          <w:snapToGrid w:val="0"/>
          <w:color w:val="auto"/>
          <w:kern w:val="0"/>
          <w:szCs w:val="21"/>
          <w:lang w:val="en-US" w:eastAsia="zh-CN"/>
        </w:rPr>
        <w:t>.2 信息化建设平台</w:t>
      </w:r>
      <w:r>
        <w:rPr>
          <w:color w:val="auto"/>
        </w:rPr>
        <w:tab/>
      </w:r>
      <w:r>
        <w:rPr>
          <w:color w:val="auto"/>
        </w:rPr>
        <w:fldChar w:fldCharType="begin"/>
      </w:r>
      <w:r>
        <w:rPr>
          <w:color w:val="auto"/>
        </w:rPr>
        <w:instrText xml:space="preserve"> PAGEREF _Toc9030 \h </w:instrText>
      </w:r>
      <w:r>
        <w:rPr>
          <w:color w:val="auto"/>
        </w:rPr>
        <w:fldChar w:fldCharType="separate"/>
      </w:r>
      <w:r>
        <w:rPr>
          <w:color w:val="auto"/>
        </w:rPr>
        <w:t>39</w:t>
      </w:r>
      <w:r>
        <w:rPr>
          <w:color w:val="auto"/>
        </w:rPr>
        <w:fldChar w:fldCharType="end"/>
      </w:r>
      <w:r>
        <w:rPr>
          <w:rFonts w:hint="default" w:ascii="Times New Roman" w:hAnsi="Times New Roman" w:cs="Times New Roman"/>
          <w:color w:val="auto"/>
        </w:rPr>
        <w:fldChar w:fldCharType="end"/>
      </w:r>
    </w:p>
    <w:p w14:paraId="2A3E143A">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_Toc30807 </w:instrText>
      </w:r>
      <w:r>
        <w:rPr>
          <w:rFonts w:hint="default" w:ascii="Times New Roman" w:hAnsi="Times New Roman" w:cs="Times New Roman"/>
          <w:color w:val="auto"/>
        </w:rPr>
        <w:fldChar w:fldCharType="separate"/>
      </w:r>
      <w:r>
        <w:rPr>
          <w:rFonts w:hint="eastAsia"/>
          <w:color w:val="auto"/>
          <w:lang w:val="en-US" w:eastAsia="zh-CN"/>
        </w:rPr>
        <w:t>9.4 突发应急预案</w:t>
      </w:r>
      <w:r>
        <w:rPr>
          <w:color w:val="auto"/>
        </w:rPr>
        <w:tab/>
      </w:r>
      <w:r>
        <w:rPr>
          <w:color w:val="auto"/>
        </w:rPr>
        <w:fldChar w:fldCharType="begin"/>
      </w:r>
      <w:r>
        <w:rPr>
          <w:color w:val="auto"/>
        </w:rPr>
        <w:instrText xml:space="preserve"> PAGEREF _Toc30807 \h </w:instrText>
      </w:r>
      <w:r>
        <w:rPr>
          <w:color w:val="auto"/>
        </w:rPr>
        <w:fldChar w:fldCharType="separate"/>
      </w:r>
      <w:r>
        <w:rPr>
          <w:color w:val="auto"/>
        </w:rPr>
        <w:t>39</w:t>
      </w:r>
      <w:r>
        <w:rPr>
          <w:color w:val="auto"/>
        </w:rPr>
        <w:fldChar w:fldCharType="end"/>
      </w:r>
      <w:r>
        <w:rPr>
          <w:rFonts w:hint="default" w:ascii="Times New Roman" w:hAnsi="Times New Roman" w:cs="Times New Roman"/>
          <w:color w:val="auto"/>
        </w:rPr>
        <w:fldChar w:fldCharType="end"/>
      </w:r>
    </w:p>
    <w:p w14:paraId="0AE8CE50">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_Toc32152 </w:instrText>
      </w:r>
      <w:r>
        <w:rPr>
          <w:rFonts w:hint="default" w:ascii="Times New Roman" w:hAnsi="Times New Roman" w:cs="Times New Roman"/>
          <w:color w:val="auto"/>
        </w:rPr>
        <w:fldChar w:fldCharType="separate"/>
      </w:r>
      <w:r>
        <w:rPr>
          <w:rFonts w:hint="eastAsia" w:ascii="Times New Roman" w:hAnsi="Times New Roman" w:eastAsia="宋体" w:cs="Arial"/>
          <w:snapToGrid w:val="0"/>
          <w:color w:val="auto"/>
          <w:kern w:val="0"/>
          <w:szCs w:val="21"/>
          <w:lang w:val="en-US" w:eastAsia="zh-CN"/>
        </w:rPr>
        <w:t>9.4.1 事前准备程序</w:t>
      </w:r>
      <w:r>
        <w:rPr>
          <w:color w:val="auto"/>
        </w:rPr>
        <w:tab/>
      </w:r>
      <w:r>
        <w:rPr>
          <w:color w:val="auto"/>
        </w:rPr>
        <w:fldChar w:fldCharType="begin"/>
      </w:r>
      <w:r>
        <w:rPr>
          <w:color w:val="auto"/>
        </w:rPr>
        <w:instrText xml:space="preserve"> PAGEREF _Toc32152 \h </w:instrText>
      </w:r>
      <w:r>
        <w:rPr>
          <w:color w:val="auto"/>
        </w:rPr>
        <w:fldChar w:fldCharType="separate"/>
      </w:r>
      <w:r>
        <w:rPr>
          <w:color w:val="auto"/>
        </w:rPr>
        <w:t>39</w:t>
      </w:r>
      <w:r>
        <w:rPr>
          <w:color w:val="auto"/>
        </w:rPr>
        <w:fldChar w:fldCharType="end"/>
      </w:r>
      <w:r>
        <w:rPr>
          <w:rFonts w:hint="default" w:ascii="Times New Roman" w:hAnsi="Times New Roman" w:cs="Times New Roman"/>
          <w:color w:val="auto"/>
        </w:rPr>
        <w:fldChar w:fldCharType="end"/>
      </w:r>
    </w:p>
    <w:p w14:paraId="4330CD48">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_Toc21096 </w:instrText>
      </w:r>
      <w:r>
        <w:rPr>
          <w:rFonts w:hint="default" w:ascii="Times New Roman" w:hAnsi="Times New Roman" w:cs="Times New Roman"/>
          <w:color w:val="auto"/>
        </w:rPr>
        <w:fldChar w:fldCharType="separate"/>
      </w:r>
      <w:r>
        <w:rPr>
          <w:rFonts w:hint="eastAsia" w:ascii="Times New Roman" w:hAnsi="Times New Roman" w:eastAsia="宋体" w:cs="Arial"/>
          <w:snapToGrid w:val="0"/>
          <w:color w:val="auto"/>
          <w:kern w:val="0"/>
          <w:szCs w:val="21"/>
          <w:lang w:val="en-US" w:eastAsia="zh-CN"/>
        </w:rPr>
        <w:t>9.4.2 事中应对措施</w:t>
      </w:r>
      <w:r>
        <w:rPr>
          <w:color w:val="auto"/>
        </w:rPr>
        <w:tab/>
      </w:r>
      <w:r>
        <w:rPr>
          <w:color w:val="auto"/>
        </w:rPr>
        <w:fldChar w:fldCharType="begin"/>
      </w:r>
      <w:r>
        <w:rPr>
          <w:color w:val="auto"/>
        </w:rPr>
        <w:instrText xml:space="preserve"> PAGEREF _Toc21096 \h </w:instrText>
      </w:r>
      <w:r>
        <w:rPr>
          <w:color w:val="auto"/>
        </w:rPr>
        <w:fldChar w:fldCharType="separate"/>
      </w:r>
      <w:r>
        <w:rPr>
          <w:color w:val="auto"/>
        </w:rPr>
        <w:t>39</w:t>
      </w:r>
      <w:r>
        <w:rPr>
          <w:color w:val="auto"/>
        </w:rPr>
        <w:fldChar w:fldCharType="end"/>
      </w:r>
      <w:r>
        <w:rPr>
          <w:rFonts w:hint="default" w:ascii="Times New Roman" w:hAnsi="Times New Roman" w:cs="Times New Roman"/>
          <w:color w:val="auto"/>
        </w:rPr>
        <w:fldChar w:fldCharType="end"/>
      </w:r>
    </w:p>
    <w:p w14:paraId="3BA04938">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_Toc4202 </w:instrText>
      </w:r>
      <w:r>
        <w:rPr>
          <w:rFonts w:hint="default" w:ascii="Times New Roman" w:hAnsi="Times New Roman" w:cs="Times New Roman"/>
          <w:color w:val="auto"/>
        </w:rPr>
        <w:fldChar w:fldCharType="separate"/>
      </w:r>
      <w:r>
        <w:rPr>
          <w:rFonts w:hint="eastAsia" w:ascii="Times New Roman" w:hAnsi="Times New Roman" w:eastAsia="宋体" w:cs="Arial"/>
          <w:snapToGrid w:val="0"/>
          <w:color w:val="auto"/>
          <w:kern w:val="0"/>
          <w:szCs w:val="21"/>
          <w:lang w:val="en-US" w:eastAsia="zh-CN"/>
        </w:rPr>
        <w:t>9.4.3 事后恢复流程</w:t>
      </w:r>
      <w:r>
        <w:rPr>
          <w:color w:val="auto"/>
        </w:rPr>
        <w:tab/>
      </w:r>
      <w:r>
        <w:rPr>
          <w:color w:val="auto"/>
        </w:rPr>
        <w:fldChar w:fldCharType="begin"/>
      </w:r>
      <w:r>
        <w:rPr>
          <w:color w:val="auto"/>
        </w:rPr>
        <w:instrText xml:space="preserve"> PAGEREF _Toc4202 \h </w:instrText>
      </w:r>
      <w:r>
        <w:rPr>
          <w:color w:val="auto"/>
        </w:rPr>
        <w:fldChar w:fldCharType="separate"/>
      </w:r>
      <w:r>
        <w:rPr>
          <w:color w:val="auto"/>
        </w:rPr>
        <w:t>40</w:t>
      </w:r>
      <w:r>
        <w:rPr>
          <w:color w:val="auto"/>
        </w:rPr>
        <w:fldChar w:fldCharType="end"/>
      </w:r>
      <w:r>
        <w:rPr>
          <w:rFonts w:hint="default" w:ascii="Times New Roman" w:hAnsi="Times New Roman" w:cs="Times New Roman"/>
          <w:color w:val="auto"/>
        </w:rPr>
        <w:fldChar w:fldCharType="end"/>
      </w:r>
    </w:p>
    <w:p w14:paraId="2E77F619">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_Toc8831 </w:instrText>
      </w:r>
      <w:r>
        <w:rPr>
          <w:rFonts w:hint="default" w:ascii="Times New Roman" w:hAnsi="Times New Roman" w:cs="Times New Roman"/>
          <w:color w:val="auto"/>
        </w:rPr>
        <w:fldChar w:fldCharType="separate"/>
      </w:r>
      <w:r>
        <w:rPr>
          <w:rFonts w:hint="eastAsia"/>
          <w:color w:val="auto"/>
          <w:lang w:val="en-US" w:eastAsia="zh-CN"/>
        </w:rPr>
        <w:t>第十章 建筑垃圾资源化利用产业发展规划</w:t>
      </w:r>
      <w:r>
        <w:rPr>
          <w:color w:val="auto"/>
        </w:rPr>
        <w:tab/>
      </w:r>
      <w:r>
        <w:rPr>
          <w:color w:val="auto"/>
        </w:rPr>
        <w:fldChar w:fldCharType="begin"/>
      </w:r>
      <w:r>
        <w:rPr>
          <w:color w:val="auto"/>
        </w:rPr>
        <w:instrText xml:space="preserve"> PAGEREF _Toc8831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4D81BF99">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_Toc17311 </w:instrText>
      </w:r>
      <w:r>
        <w:rPr>
          <w:rFonts w:hint="default" w:ascii="Times New Roman" w:hAnsi="Times New Roman" w:cs="Times New Roman"/>
          <w:color w:val="auto"/>
        </w:rPr>
        <w:fldChar w:fldCharType="separate"/>
      </w:r>
      <w:r>
        <w:rPr>
          <w:rFonts w:hint="eastAsia"/>
          <w:color w:val="auto"/>
          <w:lang w:val="en-US" w:eastAsia="zh-CN"/>
        </w:rPr>
        <w:t>10.1 规划目标</w:t>
      </w:r>
      <w:r>
        <w:rPr>
          <w:color w:val="auto"/>
        </w:rPr>
        <w:tab/>
      </w:r>
      <w:r>
        <w:rPr>
          <w:color w:val="auto"/>
        </w:rPr>
        <w:fldChar w:fldCharType="begin"/>
      </w:r>
      <w:r>
        <w:rPr>
          <w:color w:val="auto"/>
        </w:rPr>
        <w:instrText xml:space="preserve"> PAGEREF _Toc17311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4FE6B00F">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_Toc26388 </w:instrText>
      </w:r>
      <w:r>
        <w:rPr>
          <w:rFonts w:hint="default" w:ascii="Times New Roman" w:hAnsi="Times New Roman" w:cs="Times New Roman"/>
          <w:color w:val="auto"/>
        </w:rPr>
        <w:fldChar w:fldCharType="separate"/>
      </w:r>
      <w:r>
        <w:rPr>
          <w:rFonts w:hint="eastAsia"/>
          <w:color w:val="auto"/>
          <w:lang w:val="en-US" w:eastAsia="zh-CN"/>
        </w:rPr>
        <w:t>10.2 产业发展重点</w:t>
      </w:r>
      <w:r>
        <w:rPr>
          <w:color w:val="auto"/>
        </w:rPr>
        <w:tab/>
      </w:r>
      <w:r>
        <w:rPr>
          <w:color w:val="auto"/>
        </w:rPr>
        <w:fldChar w:fldCharType="begin"/>
      </w:r>
      <w:r>
        <w:rPr>
          <w:color w:val="auto"/>
        </w:rPr>
        <w:instrText xml:space="preserve"> PAGEREF _Toc26388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0D45DD6E">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_Toc358 </w:instrText>
      </w:r>
      <w:r>
        <w:rPr>
          <w:rFonts w:hint="default" w:ascii="Times New Roman" w:hAnsi="Times New Roman" w:cs="Times New Roman"/>
          <w:color w:val="auto"/>
        </w:rPr>
        <w:fldChar w:fldCharType="separate"/>
      </w:r>
      <w:r>
        <w:rPr>
          <w:rFonts w:hint="eastAsia"/>
          <w:color w:val="auto"/>
          <w:lang w:val="en-US" w:eastAsia="zh-CN"/>
        </w:rPr>
        <w:t>10.2.1 构建全链条资源化利用体系</w:t>
      </w:r>
      <w:r>
        <w:rPr>
          <w:color w:val="auto"/>
        </w:rPr>
        <w:tab/>
      </w:r>
      <w:r>
        <w:rPr>
          <w:color w:val="auto"/>
        </w:rPr>
        <w:fldChar w:fldCharType="begin"/>
      </w:r>
      <w:r>
        <w:rPr>
          <w:color w:val="auto"/>
        </w:rPr>
        <w:instrText xml:space="preserve"> PAGEREF _Toc358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3E2ACAE1">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_Toc6345 </w:instrText>
      </w:r>
      <w:r>
        <w:rPr>
          <w:rFonts w:hint="default" w:ascii="Times New Roman" w:hAnsi="Times New Roman" w:cs="Times New Roman"/>
          <w:color w:val="auto"/>
        </w:rPr>
        <w:fldChar w:fldCharType="separate"/>
      </w:r>
      <w:r>
        <w:rPr>
          <w:rFonts w:hint="eastAsia"/>
          <w:color w:val="auto"/>
          <w:lang w:val="en-US" w:eastAsia="zh-CN"/>
        </w:rPr>
        <w:t>10.2.2 加强技术研发与创新驱动</w:t>
      </w:r>
      <w:r>
        <w:rPr>
          <w:color w:val="auto"/>
        </w:rPr>
        <w:tab/>
      </w:r>
      <w:r>
        <w:rPr>
          <w:color w:val="auto"/>
        </w:rPr>
        <w:fldChar w:fldCharType="begin"/>
      </w:r>
      <w:r>
        <w:rPr>
          <w:color w:val="auto"/>
        </w:rPr>
        <w:instrText xml:space="preserve"> PAGEREF _Toc6345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67870025">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_Toc582 </w:instrText>
      </w:r>
      <w:r>
        <w:rPr>
          <w:rFonts w:hint="default" w:ascii="Times New Roman" w:hAnsi="Times New Roman" w:cs="Times New Roman"/>
          <w:color w:val="auto"/>
        </w:rPr>
        <w:fldChar w:fldCharType="separate"/>
      </w:r>
      <w:r>
        <w:rPr>
          <w:rFonts w:hint="eastAsia"/>
          <w:color w:val="auto"/>
          <w:lang w:val="en-US" w:eastAsia="zh-CN"/>
        </w:rPr>
        <w:t>10.2.3 完善政策支持与法规体系</w:t>
      </w:r>
      <w:r>
        <w:rPr>
          <w:color w:val="auto"/>
        </w:rPr>
        <w:tab/>
      </w:r>
      <w:r>
        <w:rPr>
          <w:color w:val="auto"/>
        </w:rPr>
        <w:fldChar w:fldCharType="begin"/>
      </w:r>
      <w:r>
        <w:rPr>
          <w:color w:val="auto"/>
        </w:rPr>
        <w:instrText xml:space="preserve"> PAGEREF _Toc582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52B77C34">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_Toc20176 </w:instrText>
      </w:r>
      <w:r>
        <w:rPr>
          <w:rFonts w:hint="default" w:ascii="Times New Roman" w:hAnsi="Times New Roman" w:cs="Times New Roman"/>
          <w:color w:val="auto"/>
        </w:rPr>
        <w:fldChar w:fldCharType="separate"/>
      </w:r>
      <w:r>
        <w:rPr>
          <w:rFonts w:hint="eastAsia"/>
          <w:color w:val="auto"/>
          <w:lang w:val="en-US" w:eastAsia="zh-CN"/>
        </w:rPr>
        <w:t>10.2.4 推动产业融合与区域协同</w:t>
      </w:r>
      <w:r>
        <w:rPr>
          <w:color w:val="auto"/>
        </w:rPr>
        <w:tab/>
      </w:r>
      <w:r>
        <w:rPr>
          <w:color w:val="auto"/>
        </w:rPr>
        <w:fldChar w:fldCharType="begin"/>
      </w:r>
      <w:r>
        <w:rPr>
          <w:color w:val="auto"/>
        </w:rPr>
        <w:instrText xml:space="preserve"> PAGEREF _Toc20176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50B0C06D">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_Toc18017 </w:instrText>
      </w:r>
      <w:r>
        <w:rPr>
          <w:rFonts w:hint="default" w:ascii="Times New Roman" w:hAnsi="Times New Roman" w:cs="Times New Roman"/>
          <w:color w:val="auto"/>
        </w:rPr>
        <w:fldChar w:fldCharType="separate"/>
      </w:r>
      <w:r>
        <w:rPr>
          <w:rFonts w:hint="eastAsia"/>
          <w:color w:val="auto"/>
          <w:lang w:val="en-US" w:eastAsia="zh-CN"/>
        </w:rPr>
        <w:t>10.3 产品质量控制</w:t>
      </w:r>
      <w:r>
        <w:rPr>
          <w:color w:val="auto"/>
        </w:rPr>
        <w:tab/>
      </w:r>
      <w:r>
        <w:rPr>
          <w:color w:val="auto"/>
        </w:rPr>
        <w:fldChar w:fldCharType="begin"/>
      </w:r>
      <w:r>
        <w:rPr>
          <w:color w:val="auto"/>
        </w:rPr>
        <w:instrText xml:space="preserve"> PAGEREF _Toc18017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07B03EF9">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_Toc8080 </w:instrText>
      </w:r>
      <w:r>
        <w:rPr>
          <w:rFonts w:hint="default" w:ascii="Times New Roman" w:hAnsi="Times New Roman" w:cs="Times New Roman"/>
          <w:color w:val="auto"/>
        </w:rPr>
        <w:fldChar w:fldCharType="separate"/>
      </w:r>
      <w:r>
        <w:rPr>
          <w:rFonts w:hint="eastAsia"/>
          <w:color w:val="auto"/>
          <w:lang w:val="en-US" w:eastAsia="zh-CN"/>
        </w:rPr>
        <w:t>10.3.1 实施全过程质量监控</w:t>
      </w:r>
      <w:r>
        <w:rPr>
          <w:color w:val="auto"/>
        </w:rPr>
        <w:tab/>
      </w:r>
      <w:r>
        <w:rPr>
          <w:color w:val="auto"/>
        </w:rPr>
        <w:fldChar w:fldCharType="begin"/>
      </w:r>
      <w:r>
        <w:rPr>
          <w:color w:val="auto"/>
        </w:rPr>
        <w:instrText xml:space="preserve"> PAGEREF _Toc8080 \h </w:instrText>
      </w:r>
      <w:r>
        <w:rPr>
          <w:color w:val="auto"/>
        </w:rPr>
        <w:fldChar w:fldCharType="separate"/>
      </w:r>
      <w:r>
        <w:rPr>
          <w:color w:val="auto"/>
        </w:rPr>
        <w:t>41</w:t>
      </w:r>
      <w:r>
        <w:rPr>
          <w:color w:val="auto"/>
        </w:rPr>
        <w:fldChar w:fldCharType="end"/>
      </w:r>
      <w:r>
        <w:rPr>
          <w:rFonts w:hint="default" w:ascii="Times New Roman" w:hAnsi="Times New Roman" w:cs="Times New Roman"/>
          <w:color w:val="auto"/>
        </w:rPr>
        <w:fldChar w:fldCharType="end"/>
      </w:r>
    </w:p>
    <w:p w14:paraId="41779434">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_Toc3596 </w:instrText>
      </w:r>
      <w:r>
        <w:rPr>
          <w:rFonts w:hint="default" w:ascii="Times New Roman" w:hAnsi="Times New Roman" w:cs="Times New Roman"/>
          <w:color w:val="auto"/>
        </w:rPr>
        <w:fldChar w:fldCharType="separate"/>
      </w:r>
      <w:r>
        <w:rPr>
          <w:rFonts w:hint="eastAsia"/>
          <w:color w:val="auto"/>
          <w:lang w:val="en-US" w:eastAsia="zh-CN"/>
        </w:rPr>
        <w:t>10.3.2 加强技术研发和创新</w:t>
      </w:r>
      <w:r>
        <w:rPr>
          <w:color w:val="auto"/>
        </w:rPr>
        <w:tab/>
      </w:r>
      <w:r>
        <w:rPr>
          <w:color w:val="auto"/>
        </w:rPr>
        <w:fldChar w:fldCharType="begin"/>
      </w:r>
      <w:r>
        <w:rPr>
          <w:color w:val="auto"/>
        </w:rPr>
        <w:instrText xml:space="preserve"> PAGEREF _Toc3596 \h </w:instrText>
      </w:r>
      <w:r>
        <w:rPr>
          <w:color w:val="auto"/>
        </w:rPr>
        <w:fldChar w:fldCharType="separate"/>
      </w:r>
      <w:r>
        <w:rPr>
          <w:color w:val="auto"/>
        </w:rPr>
        <w:t>42</w:t>
      </w:r>
      <w:r>
        <w:rPr>
          <w:color w:val="auto"/>
        </w:rPr>
        <w:fldChar w:fldCharType="end"/>
      </w:r>
      <w:r>
        <w:rPr>
          <w:rFonts w:hint="default" w:ascii="Times New Roman" w:hAnsi="Times New Roman" w:cs="Times New Roman"/>
          <w:color w:val="auto"/>
        </w:rPr>
        <w:fldChar w:fldCharType="end"/>
      </w:r>
    </w:p>
    <w:p w14:paraId="3D16B036">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_Toc26479 </w:instrText>
      </w:r>
      <w:r>
        <w:rPr>
          <w:rFonts w:hint="default" w:ascii="Times New Roman" w:hAnsi="Times New Roman" w:cs="Times New Roman"/>
          <w:color w:val="auto"/>
        </w:rPr>
        <w:fldChar w:fldCharType="separate"/>
      </w:r>
      <w:r>
        <w:rPr>
          <w:rFonts w:hint="eastAsia"/>
          <w:color w:val="auto"/>
          <w:lang w:val="en-US" w:eastAsia="zh-CN"/>
        </w:rPr>
        <w:t>10.4 产业支持策略</w:t>
      </w:r>
      <w:r>
        <w:rPr>
          <w:color w:val="auto"/>
        </w:rPr>
        <w:tab/>
      </w:r>
      <w:r>
        <w:rPr>
          <w:color w:val="auto"/>
        </w:rPr>
        <w:fldChar w:fldCharType="begin"/>
      </w:r>
      <w:r>
        <w:rPr>
          <w:color w:val="auto"/>
        </w:rPr>
        <w:instrText xml:space="preserve"> PAGEREF _Toc26479 \h </w:instrText>
      </w:r>
      <w:r>
        <w:rPr>
          <w:color w:val="auto"/>
        </w:rPr>
        <w:fldChar w:fldCharType="separate"/>
      </w:r>
      <w:r>
        <w:rPr>
          <w:color w:val="auto"/>
        </w:rPr>
        <w:t>42</w:t>
      </w:r>
      <w:r>
        <w:rPr>
          <w:color w:val="auto"/>
        </w:rPr>
        <w:fldChar w:fldCharType="end"/>
      </w:r>
      <w:r>
        <w:rPr>
          <w:rFonts w:hint="default" w:ascii="Times New Roman" w:hAnsi="Times New Roman" w:cs="Times New Roman"/>
          <w:color w:val="auto"/>
        </w:rPr>
        <w:fldChar w:fldCharType="end"/>
      </w:r>
    </w:p>
    <w:p w14:paraId="770688F8">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_Toc29678 </w:instrText>
      </w:r>
      <w:r>
        <w:rPr>
          <w:rFonts w:hint="default" w:ascii="Times New Roman" w:hAnsi="Times New Roman" w:cs="Times New Roman"/>
          <w:color w:val="auto"/>
        </w:rPr>
        <w:fldChar w:fldCharType="separate"/>
      </w:r>
      <w:r>
        <w:rPr>
          <w:rFonts w:hint="eastAsia"/>
          <w:color w:val="auto"/>
          <w:lang w:val="en-US" w:eastAsia="zh-CN"/>
        </w:rPr>
        <w:t>10.4.1 政策激励与法规制定</w:t>
      </w:r>
      <w:r>
        <w:rPr>
          <w:color w:val="auto"/>
        </w:rPr>
        <w:tab/>
      </w:r>
      <w:r>
        <w:rPr>
          <w:color w:val="auto"/>
        </w:rPr>
        <w:fldChar w:fldCharType="begin"/>
      </w:r>
      <w:r>
        <w:rPr>
          <w:color w:val="auto"/>
        </w:rPr>
        <w:instrText xml:space="preserve"> PAGEREF _Toc29678 \h </w:instrText>
      </w:r>
      <w:r>
        <w:rPr>
          <w:color w:val="auto"/>
        </w:rPr>
        <w:fldChar w:fldCharType="separate"/>
      </w:r>
      <w:r>
        <w:rPr>
          <w:color w:val="auto"/>
        </w:rPr>
        <w:t>42</w:t>
      </w:r>
      <w:r>
        <w:rPr>
          <w:color w:val="auto"/>
        </w:rPr>
        <w:fldChar w:fldCharType="end"/>
      </w:r>
      <w:r>
        <w:rPr>
          <w:rFonts w:hint="default" w:ascii="Times New Roman" w:hAnsi="Times New Roman" w:cs="Times New Roman"/>
          <w:color w:val="auto"/>
        </w:rPr>
        <w:fldChar w:fldCharType="end"/>
      </w:r>
    </w:p>
    <w:p w14:paraId="43B55606">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_Toc12010 </w:instrText>
      </w:r>
      <w:r>
        <w:rPr>
          <w:rFonts w:hint="default" w:ascii="Times New Roman" w:hAnsi="Times New Roman" w:cs="Times New Roman"/>
          <w:color w:val="auto"/>
        </w:rPr>
        <w:fldChar w:fldCharType="separate"/>
      </w:r>
      <w:r>
        <w:rPr>
          <w:rFonts w:hint="eastAsia"/>
          <w:color w:val="auto"/>
          <w:lang w:val="en-US" w:eastAsia="zh-CN"/>
        </w:rPr>
        <w:t>10.4.2 技术研发与创新支持</w:t>
      </w:r>
      <w:r>
        <w:rPr>
          <w:color w:val="auto"/>
        </w:rPr>
        <w:tab/>
      </w:r>
      <w:r>
        <w:rPr>
          <w:color w:val="auto"/>
        </w:rPr>
        <w:fldChar w:fldCharType="begin"/>
      </w:r>
      <w:r>
        <w:rPr>
          <w:color w:val="auto"/>
        </w:rPr>
        <w:instrText xml:space="preserve"> PAGEREF _Toc12010 \h </w:instrText>
      </w:r>
      <w:r>
        <w:rPr>
          <w:color w:val="auto"/>
        </w:rPr>
        <w:fldChar w:fldCharType="separate"/>
      </w:r>
      <w:r>
        <w:rPr>
          <w:color w:val="auto"/>
        </w:rPr>
        <w:t>42</w:t>
      </w:r>
      <w:r>
        <w:rPr>
          <w:color w:val="auto"/>
        </w:rPr>
        <w:fldChar w:fldCharType="end"/>
      </w:r>
      <w:r>
        <w:rPr>
          <w:rFonts w:hint="default" w:ascii="Times New Roman" w:hAnsi="Times New Roman" w:cs="Times New Roman"/>
          <w:color w:val="auto"/>
        </w:rPr>
        <w:fldChar w:fldCharType="end"/>
      </w:r>
    </w:p>
    <w:p w14:paraId="090C5CDA">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_Toc7486 </w:instrText>
      </w:r>
      <w:r>
        <w:rPr>
          <w:rFonts w:hint="default" w:ascii="Times New Roman" w:hAnsi="Times New Roman" w:cs="Times New Roman"/>
          <w:color w:val="auto"/>
        </w:rPr>
        <w:fldChar w:fldCharType="separate"/>
      </w:r>
      <w:r>
        <w:rPr>
          <w:rFonts w:hint="eastAsia"/>
          <w:color w:val="auto"/>
          <w:lang w:val="en-US" w:eastAsia="zh-CN"/>
        </w:rPr>
        <w:t>10.4.3 产业链整合与协同发展</w:t>
      </w:r>
      <w:r>
        <w:rPr>
          <w:color w:val="auto"/>
        </w:rPr>
        <w:tab/>
      </w:r>
      <w:r>
        <w:rPr>
          <w:color w:val="auto"/>
        </w:rPr>
        <w:fldChar w:fldCharType="begin"/>
      </w:r>
      <w:r>
        <w:rPr>
          <w:color w:val="auto"/>
        </w:rPr>
        <w:instrText xml:space="preserve"> PAGEREF _Toc7486 \h </w:instrText>
      </w:r>
      <w:r>
        <w:rPr>
          <w:color w:val="auto"/>
        </w:rPr>
        <w:fldChar w:fldCharType="separate"/>
      </w:r>
      <w:r>
        <w:rPr>
          <w:color w:val="auto"/>
        </w:rPr>
        <w:t>42</w:t>
      </w:r>
      <w:r>
        <w:rPr>
          <w:color w:val="auto"/>
        </w:rPr>
        <w:fldChar w:fldCharType="end"/>
      </w:r>
      <w:r>
        <w:rPr>
          <w:rFonts w:hint="default" w:ascii="Times New Roman" w:hAnsi="Times New Roman" w:cs="Times New Roman"/>
          <w:color w:val="auto"/>
        </w:rPr>
        <w:fldChar w:fldCharType="end"/>
      </w:r>
    </w:p>
    <w:p w14:paraId="6DB105BF">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_Toc29276 </w:instrText>
      </w:r>
      <w:r>
        <w:rPr>
          <w:rFonts w:hint="default" w:ascii="Times New Roman" w:hAnsi="Times New Roman" w:cs="Times New Roman"/>
          <w:color w:val="auto"/>
        </w:rPr>
        <w:fldChar w:fldCharType="separate"/>
      </w:r>
      <w:r>
        <w:rPr>
          <w:rFonts w:hint="eastAsia"/>
          <w:color w:val="auto"/>
          <w:lang w:val="en-US" w:eastAsia="zh-CN"/>
        </w:rPr>
        <w:t>10.4.4 市场培育与品牌建设</w:t>
      </w:r>
      <w:r>
        <w:rPr>
          <w:color w:val="auto"/>
        </w:rPr>
        <w:tab/>
      </w:r>
      <w:r>
        <w:rPr>
          <w:color w:val="auto"/>
        </w:rPr>
        <w:fldChar w:fldCharType="begin"/>
      </w:r>
      <w:r>
        <w:rPr>
          <w:color w:val="auto"/>
        </w:rPr>
        <w:instrText xml:space="preserve"> PAGEREF _Toc29276 \h </w:instrText>
      </w:r>
      <w:r>
        <w:rPr>
          <w:color w:val="auto"/>
        </w:rPr>
        <w:fldChar w:fldCharType="separate"/>
      </w:r>
      <w:r>
        <w:rPr>
          <w:color w:val="auto"/>
        </w:rPr>
        <w:t>42</w:t>
      </w:r>
      <w:r>
        <w:rPr>
          <w:color w:val="auto"/>
        </w:rPr>
        <w:fldChar w:fldCharType="end"/>
      </w:r>
      <w:r>
        <w:rPr>
          <w:rFonts w:hint="default" w:ascii="Times New Roman" w:hAnsi="Times New Roman" w:cs="Times New Roman"/>
          <w:color w:val="auto"/>
        </w:rPr>
        <w:fldChar w:fldCharType="end"/>
      </w:r>
    </w:p>
    <w:p w14:paraId="4BBB9BFF">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_Toc22753 </w:instrText>
      </w:r>
      <w:r>
        <w:rPr>
          <w:rFonts w:hint="default" w:ascii="Times New Roman" w:hAnsi="Times New Roman" w:cs="Times New Roman"/>
          <w:color w:val="auto"/>
        </w:rPr>
        <w:fldChar w:fldCharType="separate"/>
      </w:r>
      <w:r>
        <w:rPr>
          <w:rFonts w:hint="eastAsia"/>
          <w:color w:val="auto"/>
          <w:lang w:val="en-US" w:eastAsia="zh-CN"/>
        </w:rPr>
        <w:t>10.4.5 人才培养与教育推广</w:t>
      </w:r>
      <w:r>
        <w:rPr>
          <w:color w:val="auto"/>
        </w:rPr>
        <w:tab/>
      </w:r>
      <w:r>
        <w:rPr>
          <w:color w:val="auto"/>
        </w:rPr>
        <w:fldChar w:fldCharType="begin"/>
      </w:r>
      <w:r>
        <w:rPr>
          <w:color w:val="auto"/>
        </w:rPr>
        <w:instrText xml:space="preserve"> PAGEREF _Toc22753 \h </w:instrText>
      </w:r>
      <w:r>
        <w:rPr>
          <w:color w:val="auto"/>
        </w:rPr>
        <w:fldChar w:fldCharType="separate"/>
      </w:r>
      <w:r>
        <w:rPr>
          <w:color w:val="auto"/>
        </w:rPr>
        <w:t>42</w:t>
      </w:r>
      <w:r>
        <w:rPr>
          <w:color w:val="auto"/>
        </w:rPr>
        <w:fldChar w:fldCharType="end"/>
      </w:r>
      <w:r>
        <w:rPr>
          <w:rFonts w:hint="default" w:ascii="Times New Roman" w:hAnsi="Times New Roman" w:cs="Times New Roman"/>
          <w:color w:val="auto"/>
        </w:rPr>
        <w:fldChar w:fldCharType="end"/>
      </w:r>
    </w:p>
    <w:p w14:paraId="7D2C9653">
      <w:pPr>
        <w:pStyle w:val="10"/>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_Toc24876 </w:instrText>
      </w:r>
      <w:r>
        <w:rPr>
          <w:rFonts w:hint="default" w:ascii="Times New Roman" w:hAnsi="Times New Roman" w:cs="Times New Roman"/>
          <w:color w:val="auto"/>
        </w:rPr>
        <w:fldChar w:fldCharType="separate"/>
      </w:r>
      <w:r>
        <w:rPr>
          <w:rFonts w:hint="eastAsia"/>
          <w:color w:val="auto"/>
          <w:lang w:val="en-US" w:eastAsia="zh-CN"/>
        </w:rPr>
        <w:t>10.4.6 环境监管与标准制定</w:t>
      </w:r>
      <w:r>
        <w:rPr>
          <w:color w:val="auto"/>
        </w:rPr>
        <w:tab/>
      </w:r>
      <w:r>
        <w:rPr>
          <w:color w:val="auto"/>
        </w:rPr>
        <w:fldChar w:fldCharType="begin"/>
      </w:r>
      <w:r>
        <w:rPr>
          <w:color w:val="auto"/>
        </w:rPr>
        <w:instrText xml:space="preserve"> PAGEREF _Toc24876 \h </w:instrText>
      </w:r>
      <w:r>
        <w:rPr>
          <w:color w:val="auto"/>
        </w:rPr>
        <w:fldChar w:fldCharType="separate"/>
      </w:r>
      <w:r>
        <w:rPr>
          <w:color w:val="auto"/>
        </w:rPr>
        <w:t>42</w:t>
      </w:r>
      <w:r>
        <w:rPr>
          <w:color w:val="auto"/>
        </w:rPr>
        <w:fldChar w:fldCharType="end"/>
      </w:r>
      <w:r>
        <w:rPr>
          <w:rFonts w:hint="default" w:ascii="Times New Roman" w:hAnsi="Times New Roman" w:cs="Times New Roman"/>
          <w:color w:val="auto"/>
        </w:rPr>
        <w:fldChar w:fldCharType="end"/>
      </w:r>
    </w:p>
    <w:p w14:paraId="5FE9B0A2">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_Toc3180 </w:instrText>
      </w:r>
      <w:r>
        <w:rPr>
          <w:rFonts w:hint="default" w:ascii="Times New Roman" w:hAnsi="Times New Roman" w:cs="Times New Roman"/>
          <w:color w:val="auto"/>
        </w:rPr>
        <w:fldChar w:fldCharType="separate"/>
      </w:r>
      <w:r>
        <w:rPr>
          <w:rFonts w:hint="default"/>
          <w:color w:val="auto"/>
          <w:lang w:val="en-US" w:eastAsia="zh-CN"/>
        </w:rPr>
        <w:t>第</w:t>
      </w:r>
      <w:r>
        <w:rPr>
          <w:rFonts w:hint="eastAsia"/>
          <w:color w:val="auto"/>
          <w:lang w:val="en-US" w:eastAsia="zh-CN"/>
        </w:rPr>
        <w:t>十一</w:t>
      </w:r>
      <w:r>
        <w:rPr>
          <w:rFonts w:hint="default"/>
          <w:color w:val="auto"/>
          <w:lang w:val="en-US" w:eastAsia="zh-CN"/>
        </w:rPr>
        <w:t xml:space="preserve">章 </w:t>
      </w:r>
      <w:r>
        <w:rPr>
          <w:rFonts w:hint="eastAsia"/>
          <w:color w:val="auto"/>
          <w:lang w:val="en-US" w:eastAsia="zh-CN"/>
        </w:rPr>
        <w:t>近期规划实施计划</w:t>
      </w:r>
      <w:r>
        <w:rPr>
          <w:color w:val="auto"/>
        </w:rPr>
        <w:tab/>
      </w:r>
      <w:r>
        <w:rPr>
          <w:color w:val="auto"/>
        </w:rPr>
        <w:fldChar w:fldCharType="begin"/>
      </w:r>
      <w:r>
        <w:rPr>
          <w:color w:val="auto"/>
        </w:rPr>
        <w:instrText xml:space="preserve"> PAGEREF _Toc3180 \h </w:instrText>
      </w:r>
      <w:r>
        <w:rPr>
          <w:color w:val="auto"/>
        </w:rPr>
        <w:fldChar w:fldCharType="separate"/>
      </w:r>
      <w:r>
        <w:rPr>
          <w:color w:val="auto"/>
        </w:rPr>
        <w:t>43</w:t>
      </w:r>
      <w:r>
        <w:rPr>
          <w:color w:val="auto"/>
        </w:rPr>
        <w:fldChar w:fldCharType="end"/>
      </w:r>
      <w:r>
        <w:rPr>
          <w:rFonts w:hint="default" w:ascii="Times New Roman" w:hAnsi="Times New Roman" w:cs="Times New Roman"/>
          <w:color w:val="auto"/>
        </w:rPr>
        <w:fldChar w:fldCharType="end"/>
      </w:r>
    </w:p>
    <w:p w14:paraId="09C9C8A0">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_Toc5944 </w:instrText>
      </w:r>
      <w:r>
        <w:rPr>
          <w:rFonts w:hint="default" w:ascii="Times New Roman" w:hAnsi="Times New Roman" w:cs="Times New Roman"/>
          <w:color w:val="auto"/>
        </w:rPr>
        <w:fldChar w:fldCharType="separate"/>
      </w:r>
      <w:r>
        <w:rPr>
          <w:rFonts w:hint="eastAsia"/>
          <w:color w:val="auto"/>
          <w:lang w:val="en-US" w:eastAsia="zh-CN"/>
        </w:rPr>
        <w:t>11</w:t>
      </w:r>
      <w:r>
        <w:rPr>
          <w:rFonts w:hint="default"/>
          <w:color w:val="auto"/>
          <w:lang w:val="en-US" w:eastAsia="zh-CN"/>
        </w:rPr>
        <w:t>.1</w:t>
      </w:r>
      <w:r>
        <w:rPr>
          <w:rFonts w:hint="eastAsia"/>
          <w:color w:val="auto"/>
          <w:lang w:val="en-US" w:eastAsia="zh-CN"/>
        </w:rPr>
        <w:t xml:space="preserve"> 近期工作规划</w:t>
      </w:r>
      <w:r>
        <w:rPr>
          <w:color w:val="auto"/>
        </w:rPr>
        <w:tab/>
      </w:r>
      <w:r>
        <w:rPr>
          <w:color w:val="auto"/>
        </w:rPr>
        <w:fldChar w:fldCharType="begin"/>
      </w:r>
      <w:r>
        <w:rPr>
          <w:color w:val="auto"/>
        </w:rPr>
        <w:instrText xml:space="preserve"> PAGEREF _Toc5944 \h </w:instrText>
      </w:r>
      <w:r>
        <w:rPr>
          <w:color w:val="auto"/>
        </w:rPr>
        <w:fldChar w:fldCharType="separate"/>
      </w:r>
      <w:r>
        <w:rPr>
          <w:color w:val="auto"/>
        </w:rPr>
        <w:t>43</w:t>
      </w:r>
      <w:r>
        <w:rPr>
          <w:color w:val="auto"/>
        </w:rPr>
        <w:fldChar w:fldCharType="end"/>
      </w:r>
      <w:r>
        <w:rPr>
          <w:rFonts w:hint="default" w:ascii="Times New Roman" w:hAnsi="Times New Roman" w:cs="Times New Roman"/>
          <w:color w:val="auto"/>
        </w:rPr>
        <w:fldChar w:fldCharType="end"/>
      </w:r>
    </w:p>
    <w:p w14:paraId="4A84380A">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_Toc1632 </w:instrText>
      </w:r>
      <w:r>
        <w:rPr>
          <w:rFonts w:hint="default" w:ascii="Times New Roman" w:hAnsi="Times New Roman" w:cs="Times New Roman"/>
          <w:color w:val="auto"/>
        </w:rPr>
        <w:fldChar w:fldCharType="separate"/>
      </w:r>
      <w:r>
        <w:rPr>
          <w:rFonts w:hint="eastAsia"/>
          <w:color w:val="auto"/>
          <w:lang w:val="en-US" w:eastAsia="zh-CN"/>
        </w:rPr>
        <w:t>11</w:t>
      </w:r>
      <w:r>
        <w:rPr>
          <w:rFonts w:hint="default"/>
          <w:color w:val="auto"/>
          <w:lang w:val="en-US" w:eastAsia="zh-CN"/>
        </w:rPr>
        <w:t>.2</w:t>
      </w:r>
      <w:r>
        <w:rPr>
          <w:rFonts w:hint="eastAsia"/>
          <w:color w:val="auto"/>
          <w:lang w:val="en-US" w:eastAsia="zh-CN"/>
        </w:rPr>
        <w:t xml:space="preserve"> 近期项目规划</w:t>
      </w:r>
      <w:r>
        <w:rPr>
          <w:color w:val="auto"/>
        </w:rPr>
        <w:tab/>
      </w:r>
      <w:r>
        <w:rPr>
          <w:color w:val="auto"/>
        </w:rPr>
        <w:fldChar w:fldCharType="begin"/>
      </w:r>
      <w:r>
        <w:rPr>
          <w:color w:val="auto"/>
        </w:rPr>
        <w:instrText xml:space="preserve"> PAGEREF _Toc1632 \h </w:instrText>
      </w:r>
      <w:r>
        <w:rPr>
          <w:color w:val="auto"/>
        </w:rPr>
        <w:fldChar w:fldCharType="separate"/>
      </w:r>
      <w:r>
        <w:rPr>
          <w:color w:val="auto"/>
        </w:rPr>
        <w:t>43</w:t>
      </w:r>
      <w:r>
        <w:rPr>
          <w:color w:val="auto"/>
        </w:rPr>
        <w:fldChar w:fldCharType="end"/>
      </w:r>
      <w:r>
        <w:rPr>
          <w:rFonts w:hint="default" w:ascii="Times New Roman" w:hAnsi="Times New Roman" w:cs="Times New Roman"/>
          <w:color w:val="auto"/>
        </w:rPr>
        <w:fldChar w:fldCharType="end"/>
      </w:r>
    </w:p>
    <w:p w14:paraId="56046282">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_Toc10928 </w:instrText>
      </w:r>
      <w:r>
        <w:rPr>
          <w:rFonts w:hint="default" w:ascii="Times New Roman" w:hAnsi="Times New Roman" w:cs="Times New Roman"/>
          <w:color w:val="auto"/>
        </w:rPr>
        <w:fldChar w:fldCharType="separate"/>
      </w:r>
      <w:r>
        <w:rPr>
          <w:rFonts w:hint="default"/>
          <w:color w:val="auto"/>
          <w:lang w:val="en-US" w:eastAsia="zh-CN"/>
        </w:rPr>
        <w:t>第</w:t>
      </w:r>
      <w:r>
        <w:rPr>
          <w:rFonts w:hint="eastAsia"/>
          <w:color w:val="auto"/>
          <w:lang w:val="en-US" w:eastAsia="zh-CN"/>
        </w:rPr>
        <w:t>十二</w:t>
      </w:r>
      <w:r>
        <w:rPr>
          <w:rFonts w:hint="default"/>
          <w:color w:val="auto"/>
          <w:lang w:val="en-US" w:eastAsia="zh-CN"/>
        </w:rPr>
        <w:t>章</w:t>
      </w:r>
      <w:r>
        <w:rPr>
          <w:rFonts w:hint="eastAsia"/>
          <w:color w:val="auto"/>
          <w:lang w:val="en-US" w:eastAsia="zh-CN"/>
        </w:rPr>
        <w:t xml:space="preserve"> 保障措施</w:t>
      </w:r>
      <w:r>
        <w:rPr>
          <w:color w:val="auto"/>
        </w:rPr>
        <w:tab/>
      </w:r>
      <w:r>
        <w:rPr>
          <w:color w:val="auto"/>
        </w:rPr>
        <w:fldChar w:fldCharType="begin"/>
      </w:r>
      <w:r>
        <w:rPr>
          <w:color w:val="auto"/>
        </w:rPr>
        <w:instrText xml:space="preserve"> PAGEREF _Toc10928 \h </w:instrText>
      </w:r>
      <w:r>
        <w:rPr>
          <w:color w:val="auto"/>
        </w:rPr>
        <w:fldChar w:fldCharType="separate"/>
      </w:r>
      <w:r>
        <w:rPr>
          <w:color w:val="auto"/>
        </w:rPr>
        <w:t>44</w:t>
      </w:r>
      <w:r>
        <w:rPr>
          <w:color w:val="auto"/>
        </w:rPr>
        <w:fldChar w:fldCharType="end"/>
      </w:r>
      <w:r>
        <w:rPr>
          <w:rFonts w:hint="default" w:ascii="Times New Roman" w:hAnsi="Times New Roman" w:cs="Times New Roman"/>
          <w:color w:val="auto"/>
        </w:rPr>
        <w:fldChar w:fldCharType="end"/>
      </w:r>
    </w:p>
    <w:p w14:paraId="02D021F2">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_Toc18201 </w:instrText>
      </w:r>
      <w:r>
        <w:rPr>
          <w:rFonts w:hint="default" w:ascii="Times New Roman" w:hAnsi="Times New Roman" w:cs="Times New Roman"/>
          <w:color w:val="auto"/>
        </w:rPr>
        <w:fldChar w:fldCharType="separate"/>
      </w:r>
      <w:r>
        <w:rPr>
          <w:rFonts w:hint="eastAsia"/>
          <w:color w:val="auto"/>
          <w:lang w:val="en-US" w:eastAsia="zh-CN"/>
        </w:rPr>
        <w:t>12</w:t>
      </w:r>
      <w:r>
        <w:rPr>
          <w:rFonts w:hint="default"/>
          <w:color w:val="auto"/>
          <w:lang w:val="en-US" w:eastAsia="zh-CN"/>
        </w:rPr>
        <w:t>.1</w:t>
      </w:r>
      <w:r>
        <w:rPr>
          <w:rFonts w:hint="eastAsia"/>
          <w:color w:val="auto"/>
          <w:lang w:val="en-US" w:eastAsia="zh-CN"/>
        </w:rPr>
        <w:t xml:space="preserve"> </w:t>
      </w:r>
      <w:r>
        <w:rPr>
          <w:rFonts w:hint="default"/>
          <w:color w:val="auto"/>
          <w:lang w:val="en-US" w:eastAsia="zh-CN"/>
        </w:rPr>
        <w:t>政策</w:t>
      </w:r>
      <w:r>
        <w:rPr>
          <w:rFonts w:hint="eastAsia"/>
          <w:color w:val="auto"/>
          <w:lang w:val="en-US" w:eastAsia="zh-CN"/>
        </w:rPr>
        <w:t>保障</w:t>
      </w:r>
      <w:r>
        <w:rPr>
          <w:color w:val="auto"/>
        </w:rPr>
        <w:tab/>
      </w:r>
      <w:r>
        <w:rPr>
          <w:color w:val="auto"/>
        </w:rPr>
        <w:fldChar w:fldCharType="begin"/>
      </w:r>
      <w:r>
        <w:rPr>
          <w:color w:val="auto"/>
        </w:rPr>
        <w:instrText xml:space="preserve"> PAGEREF _Toc18201 \h </w:instrText>
      </w:r>
      <w:r>
        <w:rPr>
          <w:color w:val="auto"/>
        </w:rPr>
        <w:fldChar w:fldCharType="separate"/>
      </w:r>
      <w:r>
        <w:rPr>
          <w:color w:val="auto"/>
        </w:rPr>
        <w:t>44</w:t>
      </w:r>
      <w:r>
        <w:rPr>
          <w:color w:val="auto"/>
        </w:rPr>
        <w:fldChar w:fldCharType="end"/>
      </w:r>
      <w:r>
        <w:rPr>
          <w:rFonts w:hint="default" w:ascii="Times New Roman" w:hAnsi="Times New Roman" w:cs="Times New Roman"/>
          <w:color w:val="auto"/>
        </w:rPr>
        <w:fldChar w:fldCharType="end"/>
      </w:r>
    </w:p>
    <w:p w14:paraId="3F203938">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_Toc31172 </w:instrText>
      </w:r>
      <w:r>
        <w:rPr>
          <w:rFonts w:hint="default" w:ascii="Times New Roman" w:hAnsi="Times New Roman" w:cs="Times New Roman"/>
          <w:color w:val="auto"/>
        </w:rPr>
        <w:fldChar w:fldCharType="separate"/>
      </w:r>
      <w:r>
        <w:rPr>
          <w:rFonts w:hint="eastAsia"/>
          <w:color w:val="auto"/>
          <w:lang w:val="en-US" w:eastAsia="zh-CN"/>
        </w:rPr>
        <w:t>12</w:t>
      </w:r>
      <w:r>
        <w:rPr>
          <w:rFonts w:hint="default"/>
          <w:color w:val="auto"/>
          <w:lang w:val="en-US" w:eastAsia="zh-CN"/>
        </w:rPr>
        <w:t>.2</w:t>
      </w:r>
      <w:r>
        <w:rPr>
          <w:rFonts w:hint="eastAsia"/>
          <w:color w:val="auto"/>
          <w:lang w:val="en-US" w:eastAsia="zh-CN"/>
        </w:rPr>
        <w:t xml:space="preserve"> 组织保障</w:t>
      </w:r>
      <w:r>
        <w:rPr>
          <w:color w:val="auto"/>
        </w:rPr>
        <w:tab/>
      </w:r>
      <w:r>
        <w:rPr>
          <w:color w:val="auto"/>
        </w:rPr>
        <w:fldChar w:fldCharType="begin"/>
      </w:r>
      <w:r>
        <w:rPr>
          <w:color w:val="auto"/>
        </w:rPr>
        <w:instrText xml:space="preserve"> PAGEREF _Toc31172 \h </w:instrText>
      </w:r>
      <w:r>
        <w:rPr>
          <w:color w:val="auto"/>
        </w:rPr>
        <w:fldChar w:fldCharType="separate"/>
      </w:r>
      <w:r>
        <w:rPr>
          <w:color w:val="auto"/>
        </w:rPr>
        <w:t>44</w:t>
      </w:r>
      <w:r>
        <w:rPr>
          <w:color w:val="auto"/>
        </w:rPr>
        <w:fldChar w:fldCharType="end"/>
      </w:r>
      <w:r>
        <w:rPr>
          <w:rFonts w:hint="default" w:ascii="Times New Roman" w:hAnsi="Times New Roman" w:cs="Times New Roman"/>
          <w:color w:val="auto"/>
        </w:rPr>
        <w:fldChar w:fldCharType="end"/>
      </w:r>
    </w:p>
    <w:p w14:paraId="170C7882">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_Toc7741 </w:instrText>
      </w:r>
      <w:r>
        <w:rPr>
          <w:rFonts w:hint="default" w:ascii="Times New Roman" w:hAnsi="Times New Roman" w:cs="Times New Roman"/>
          <w:color w:val="auto"/>
        </w:rPr>
        <w:fldChar w:fldCharType="separate"/>
      </w:r>
      <w:r>
        <w:rPr>
          <w:rFonts w:hint="eastAsia"/>
          <w:color w:val="auto"/>
          <w:lang w:val="en-US" w:eastAsia="zh-CN"/>
        </w:rPr>
        <w:t>12</w:t>
      </w:r>
      <w:r>
        <w:rPr>
          <w:rFonts w:hint="default"/>
          <w:color w:val="auto"/>
          <w:lang w:val="en-US" w:eastAsia="zh-CN"/>
        </w:rPr>
        <w:t>.3</w:t>
      </w:r>
      <w:r>
        <w:rPr>
          <w:rFonts w:hint="eastAsia"/>
          <w:color w:val="auto"/>
          <w:lang w:val="en-US" w:eastAsia="zh-CN"/>
        </w:rPr>
        <w:t xml:space="preserve"> 资金保障</w:t>
      </w:r>
      <w:r>
        <w:rPr>
          <w:color w:val="auto"/>
        </w:rPr>
        <w:tab/>
      </w:r>
      <w:r>
        <w:rPr>
          <w:color w:val="auto"/>
        </w:rPr>
        <w:fldChar w:fldCharType="begin"/>
      </w:r>
      <w:r>
        <w:rPr>
          <w:color w:val="auto"/>
        </w:rPr>
        <w:instrText xml:space="preserve"> PAGEREF _Toc7741 \h </w:instrText>
      </w:r>
      <w:r>
        <w:rPr>
          <w:color w:val="auto"/>
        </w:rPr>
        <w:fldChar w:fldCharType="separate"/>
      </w:r>
      <w:r>
        <w:rPr>
          <w:color w:val="auto"/>
        </w:rPr>
        <w:t>44</w:t>
      </w:r>
      <w:r>
        <w:rPr>
          <w:color w:val="auto"/>
        </w:rPr>
        <w:fldChar w:fldCharType="end"/>
      </w:r>
      <w:r>
        <w:rPr>
          <w:rFonts w:hint="default" w:ascii="Times New Roman" w:hAnsi="Times New Roman" w:cs="Times New Roman"/>
          <w:color w:val="auto"/>
        </w:rPr>
        <w:fldChar w:fldCharType="end"/>
      </w:r>
    </w:p>
    <w:p w14:paraId="4EB04C06">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_Toc16085 </w:instrText>
      </w:r>
      <w:r>
        <w:rPr>
          <w:rFonts w:hint="default" w:ascii="Times New Roman" w:hAnsi="Times New Roman" w:cs="Times New Roman"/>
          <w:color w:val="auto"/>
        </w:rPr>
        <w:fldChar w:fldCharType="separate"/>
      </w:r>
      <w:r>
        <w:rPr>
          <w:rFonts w:hint="eastAsia"/>
          <w:color w:val="auto"/>
          <w:lang w:val="en-US" w:eastAsia="zh-CN"/>
        </w:rPr>
        <w:t>12</w:t>
      </w:r>
      <w:r>
        <w:rPr>
          <w:rFonts w:hint="default"/>
          <w:color w:val="auto"/>
          <w:lang w:val="en-US" w:eastAsia="zh-CN"/>
        </w:rPr>
        <w:t>.4</w:t>
      </w:r>
      <w:r>
        <w:rPr>
          <w:rFonts w:hint="eastAsia"/>
          <w:color w:val="auto"/>
          <w:lang w:val="en-US" w:eastAsia="zh-CN"/>
        </w:rPr>
        <w:t xml:space="preserve"> 土地保障</w:t>
      </w:r>
      <w:r>
        <w:rPr>
          <w:color w:val="auto"/>
        </w:rPr>
        <w:tab/>
      </w:r>
      <w:r>
        <w:rPr>
          <w:color w:val="auto"/>
        </w:rPr>
        <w:fldChar w:fldCharType="begin"/>
      </w:r>
      <w:r>
        <w:rPr>
          <w:color w:val="auto"/>
        </w:rPr>
        <w:instrText xml:space="preserve"> PAGEREF _Toc16085 \h </w:instrText>
      </w:r>
      <w:r>
        <w:rPr>
          <w:color w:val="auto"/>
        </w:rPr>
        <w:fldChar w:fldCharType="separate"/>
      </w:r>
      <w:r>
        <w:rPr>
          <w:color w:val="auto"/>
        </w:rPr>
        <w:t>44</w:t>
      </w:r>
      <w:r>
        <w:rPr>
          <w:color w:val="auto"/>
        </w:rPr>
        <w:fldChar w:fldCharType="end"/>
      </w:r>
      <w:r>
        <w:rPr>
          <w:rFonts w:hint="default" w:ascii="Times New Roman" w:hAnsi="Times New Roman" w:cs="Times New Roman"/>
          <w:color w:val="auto"/>
        </w:rPr>
        <w:fldChar w:fldCharType="end"/>
      </w:r>
    </w:p>
    <w:p w14:paraId="3C04E698">
      <w:pPr>
        <w:pStyle w:val="14"/>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_Toc10422 </w:instrText>
      </w:r>
      <w:r>
        <w:rPr>
          <w:rFonts w:hint="default" w:ascii="Times New Roman" w:hAnsi="Times New Roman" w:cs="Times New Roman"/>
          <w:color w:val="auto"/>
        </w:rPr>
        <w:fldChar w:fldCharType="separate"/>
      </w:r>
      <w:r>
        <w:rPr>
          <w:rFonts w:hint="eastAsia"/>
          <w:color w:val="auto"/>
          <w:lang w:val="en-US" w:eastAsia="zh-CN"/>
        </w:rPr>
        <w:t>12.5 技术保障</w:t>
      </w:r>
      <w:r>
        <w:rPr>
          <w:color w:val="auto"/>
        </w:rPr>
        <w:tab/>
      </w:r>
      <w:r>
        <w:rPr>
          <w:color w:val="auto"/>
        </w:rPr>
        <w:fldChar w:fldCharType="begin"/>
      </w:r>
      <w:r>
        <w:rPr>
          <w:color w:val="auto"/>
        </w:rPr>
        <w:instrText xml:space="preserve"> PAGEREF _Toc10422 \h </w:instrText>
      </w:r>
      <w:r>
        <w:rPr>
          <w:color w:val="auto"/>
        </w:rPr>
        <w:fldChar w:fldCharType="separate"/>
      </w:r>
      <w:r>
        <w:rPr>
          <w:color w:val="auto"/>
        </w:rPr>
        <w:t>44</w:t>
      </w:r>
      <w:r>
        <w:rPr>
          <w:color w:val="auto"/>
        </w:rPr>
        <w:fldChar w:fldCharType="end"/>
      </w:r>
      <w:r>
        <w:rPr>
          <w:rFonts w:hint="default" w:ascii="Times New Roman" w:hAnsi="Times New Roman" w:cs="Times New Roman"/>
          <w:color w:val="auto"/>
        </w:rPr>
        <w:fldChar w:fldCharType="end"/>
      </w:r>
    </w:p>
    <w:p w14:paraId="6DFBBE10">
      <w:pPr>
        <w:pStyle w:val="13"/>
        <w:tabs>
          <w:tab w:val="right" w:leader="dot" w:pos="10253"/>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_Toc26370 </w:instrText>
      </w:r>
      <w:r>
        <w:rPr>
          <w:rFonts w:hint="default" w:ascii="Times New Roman" w:hAnsi="Times New Roman" w:cs="Times New Roman"/>
          <w:color w:val="auto"/>
        </w:rPr>
        <w:fldChar w:fldCharType="separate"/>
      </w:r>
      <w:r>
        <w:rPr>
          <w:rFonts w:hint="eastAsia" w:ascii="Times New Roman" w:eastAsia="宋体"/>
          <w:color w:val="auto"/>
          <w:szCs w:val="40"/>
          <w:lang w:val="en-US" w:eastAsia="zh-CN"/>
        </w:rPr>
        <w:t>附图：</w:t>
      </w:r>
      <w:r>
        <w:rPr>
          <w:color w:val="auto"/>
        </w:rPr>
        <w:tab/>
      </w:r>
      <w:r>
        <w:rPr>
          <w:color w:val="auto"/>
        </w:rPr>
        <w:fldChar w:fldCharType="begin"/>
      </w:r>
      <w:r>
        <w:rPr>
          <w:color w:val="auto"/>
        </w:rPr>
        <w:instrText xml:space="preserve"> PAGEREF _Toc26370 \h </w:instrText>
      </w:r>
      <w:r>
        <w:rPr>
          <w:color w:val="auto"/>
        </w:rPr>
        <w:fldChar w:fldCharType="separate"/>
      </w:r>
      <w:r>
        <w:rPr>
          <w:color w:val="auto"/>
        </w:rPr>
        <w:t>46</w:t>
      </w:r>
      <w:r>
        <w:rPr>
          <w:color w:val="auto"/>
        </w:rPr>
        <w:fldChar w:fldCharType="end"/>
      </w:r>
      <w:r>
        <w:rPr>
          <w:rFonts w:hint="default" w:ascii="Times New Roman" w:hAnsi="Times New Roman" w:cs="Times New Roman"/>
          <w:color w:val="auto"/>
        </w:rPr>
        <w:fldChar w:fldCharType="end"/>
      </w:r>
    </w:p>
    <w:p w14:paraId="169388C1">
      <w:pPr>
        <w:pStyle w:val="2"/>
        <w:pageBreakBefore w:val="0"/>
        <w:widowControl/>
        <w:kinsoku w:val="0"/>
        <w:wordWrap/>
        <w:overflowPunct/>
        <w:topLinePunct w:val="0"/>
        <w:autoSpaceDE w:val="0"/>
        <w:autoSpaceDN w:val="0"/>
        <w:bidi w:val="0"/>
        <w:adjustRightInd/>
        <w:snapToGrid w:val="0"/>
        <w:ind w:firstLine="0" w:firstLineChars="0"/>
        <w:jc w:val="both"/>
        <w:textAlignment w:val="baseline"/>
        <w:outlineLvl w:val="9"/>
        <w:rPr>
          <w:rFonts w:hint="default" w:ascii="Times New Roman" w:hAnsi="Times New Roman" w:cs="Times New Roman"/>
          <w:color w:val="auto"/>
        </w:rPr>
        <w:sectPr>
          <w:footerReference r:id="rId5" w:type="default"/>
          <w:pgSz w:w="23811" w:h="16838" w:orient="landscape"/>
          <w:pgMar w:top="1800" w:right="1440" w:bottom="1800" w:left="1440" w:header="851" w:footer="992" w:gutter="0"/>
          <w:pgBorders>
            <w:top w:val="none" w:sz="0" w:space="0"/>
            <w:left w:val="none" w:sz="0" w:space="0"/>
            <w:bottom w:val="none" w:sz="0" w:space="0"/>
            <w:right w:val="none" w:sz="0" w:space="0"/>
          </w:pgBorders>
          <w:pgNumType w:fmt="upperRoman" w:start="1"/>
          <w:cols w:equalWidth="0" w:num="2">
            <w:col w:w="10253" w:space="425"/>
            <w:col w:w="10253"/>
          </w:cols>
          <w:docGrid w:type="lines" w:linePitch="312" w:charSpace="0"/>
        </w:sectPr>
      </w:pPr>
      <w:r>
        <w:rPr>
          <w:rFonts w:hint="default" w:ascii="Times New Roman" w:hAnsi="Times New Roman" w:cs="Times New Roman"/>
          <w:color w:val="auto"/>
        </w:rPr>
        <w:fldChar w:fldCharType="end"/>
      </w:r>
    </w:p>
    <w:p w14:paraId="3B854DA4">
      <w:pPr>
        <w:pStyle w:val="2"/>
        <w:bidi w:val="0"/>
        <w:jc w:val="center"/>
        <w:rPr>
          <w:rFonts w:hint="default" w:ascii="Times New Roman" w:hAnsi="Times New Roman" w:cs="Times New Roman"/>
          <w:color w:val="auto"/>
          <w:sz w:val="21"/>
        </w:rPr>
      </w:pPr>
      <w:bookmarkStart w:id="10" w:name="_Toc17625"/>
      <w:r>
        <w:rPr>
          <w:rFonts w:hint="default" w:ascii="Times New Roman" w:hAnsi="Times New Roman" w:cs="Times New Roman"/>
          <w:color w:val="auto"/>
        </w:rPr>
        <w:t>第一章</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总则</w:t>
      </w:r>
      <w:bookmarkEnd w:id="10"/>
    </w:p>
    <w:p w14:paraId="16889DBC">
      <w:pPr>
        <w:pStyle w:val="3"/>
        <w:bidi w:val="0"/>
        <w:rPr>
          <w:rFonts w:hint="default"/>
          <w:color w:val="auto"/>
        </w:rPr>
      </w:pPr>
      <w:bookmarkStart w:id="11" w:name="_Toc22533"/>
      <w:r>
        <w:rPr>
          <w:rFonts w:hint="default"/>
          <w:color w:val="auto"/>
        </w:rPr>
        <w:t>1.1</w:t>
      </w:r>
      <w:r>
        <w:rPr>
          <w:rFonts w:hint="default"/>
          <w:color w:val="auto"/>
          <w:lang w:val="en-US" w:eastAsia="zh-CN"/>
        </w:rPr>
        <w:t xml:space="preserve"> </w:t>
      </w:r>
      <w:r>
        <w:rPr>
          <w:rFonts w:hint="default"/>
          <w:color w:val="auto"/>
        </w:rPr>
        <w:t>编制</w:t>
      </w:r>
      <w:r>
        <w:rPr>
          <w:rFonts w:hint="default"/>
          <w:color w:val="auto"/>
          <w:lang w:val="en-US" w:eastAsia="zh-CN"/>
        </w:rPr>
        <w:t>背景及</w:t>
      </w:r>
      <w:r>
        <w:rPr>
          <w:rFonts w:hint="default"/>
          <w:color w:val="auto"/>
        </w:rPr>
        <w:t>目的</w:t>
      </w:r>
      <w:bookmarkEnd w:id="11"/>
    </w:p>
    <w:p w14:paraId="333FB77A">
      <w:pPr>
        <w:bidi w:val="0"/>
        <w:rPr>
          <w:rFonts w:hint="eastAsia" w:cs="Times New Roman"/>
          <w:color w:val="auto"/>
          <w:lang w:eastAsia="zh-CN"/>
        </w:rPr>
      </w:pPr>
      <w:r>
        <w:rPr>
          <w:rFonts w:hint="default" w:ascii="Times New Roman" w:hAnsi="Times New Roman" w:cs="Times New Roman"/>
          <w:color w:val="auto"/>
        </w:rPr>
        <w:t>2018年12月，国务院印发《国务院办公厅关于印发</w:t>
      </w:r>
      <w:r>
        <w:rPr>
          <w:rFonts w:hint="eastAsia" w:cs="Times New Roman"/>
          <w:color w:val="auto"/>
          <w:lang w:eastAsia="zh-CN"/>
        </w:rPr>
        <w:t>“</w:t>
      </w:r>
      <w:r>
        <w:rPr>
          <w:rFonts w:hint="eastAsia" w:cs="Times New Roman"/>
          <w:color w:val="auto"/>
          <w:lang w:val="en-US" w:eastAsia="zh-CN"/>
        </w:rPr>
        <w:t>无废城市</w:t>
      </w:r>
      <w:r>
        <w:rPr>
          <w:rFonts w:hint="eastAsia" w:cs="Times New Roman"/>
          <w:color w:val="auto"/>
          <w:lang w:eastAsia="zh-CN"/>
        </w:rPr>
        <w:t>”</w:t>
      </w:r>
      <w:r>
        <w:rPr>
          <w:rFonts w:hint="default" w:ascii="Times New Roman" w:hAnsi="Times New Roman" w:cs="Times New Roman"/>
          <w:color w:val="auto"/>
        </w:rPr>
        <w:t>建设试点工作方案的通知》</w:t>
      </w:r>
      <w:r>
        <w:rPr>
          <w:rFonts w:hint="eastAsia" w:cs="Times New Roman"/>
          <w:color w:val="auto"/>
          <w:lang w:eastAsia="zh-CN"/>
        </w:rPr>
        <w:t>（</w:t>
      </w:r>
      <w:r>
        <w:rPr>
          <w:rFonts w:hint="default" w:ascii="Times New Roman" w:hAnsi="Times New Roman" w:cs="Times New Roman"/>
          <w:color w:val="auto"/>
        </w:rPr>
        <w:t>国办发</w:t>
      </w:r>
      <w:r>
        <w:rPr>
          <w:rFonts w:hint="eastAsia" w:cs="Times New Roman"/>
          <w:color w:val="auto"/>
          <w:lang w:eastAsia="zh-CN"/>
        </w:rPr>
        <w:t>〔</w:t>
      </w:r>
      <w:r>
        <w:rPr>
          <w:rFonts w:hint="default" w:ascii="Times New Roman" w:hAnsi="Times New Roman" w:cs="Times New Roman"/>
          <w:color w:val="auto"/>
        </w:rPr>
        <w:t>2018</w:t>
      </w:r>
      <w:r>
        <w:rPr>
          <w:rFonts w:hint="eastAsia" w:cs="Times New Roman"/>
          <w:color w:val="auto"/>
          <w:lang w:eastAsia="zh-CN"/>
        </w:rPr>
        <w:t>〕</w:t>
      </w:r>
      <w:r>
        <w:rPr>
          <w:rFonts w:hint="default" w:ascii="Times New Roman" w:hAnsi="Times New Roman" w:cs="Times New Roman"/>
          <w:color w:val="auto"/>
        </w:rPr>
        <w:t>128号</w:t>
      </w:r>
      <w:r>
        <w:rPr>
          <w:rFonts w:hint="eastAsia" w:cs="Times New Roman"/>
          <w:color w:val="auto"/>
          <w:lang w:eastAsia="zh-CN"/>
        </w:rPr>
        <w:t>）</w:t>
      </w:r>
      <w:r>
        <w:rPr>
          <w:rFonts w:hint="default" w:ascii="Times New Roman" w:hAnsi="Times New Roman" w:cs="Times New Roman"/>
          <w:color w:val="auto"/>
        </w:rPr>
        <w:t>，要求开展建筑垃圾治理，提高源头减量及资源化利用水平。摸清建筑垃圾产生现状和发展趋势，加强建筑垃圾全过程管理。强化规划引导，合理布局建筑垃圾转运调配、消纳处置和资源化利用设施。加快设施建设，形成与城市发展需求相匹配的建筑垃圾治理体系。开展存量治理，对堆放量比较大、比较集中的堆放点，经评估达到安全稳定要求后，开展生态修复。在有条件的地区，推进资源化利用，提高建筑垃圾资源化再生产品质量</w:t>
      </w:r>
      <w:r>
        <w:rPr>
          <w:rFonts w:hint="eastAsia" w:cs="Times New Roman"/>
          <w:color w:val="auto"/>
          <w:lang w:eastAsia="zh-CN"/>
        </w:rPr>
        <w:t>。</w:t>
      </w:r>
    </w:p>
    <w:p w14:paraId="2F68EB48">
      <w:pPr>
        <w:bidi w:val="0"/>
        <w:rPr>
          <w:rFonts w:hint="eastAsia" w:cs="Times New Roman"/>
          <w:color w:val="auto"/>
          <w:lang w:eastAsia="zh-CN"/>
        </w:rPr>
      </w:pPr>
      <w:r>
        <w:rPr>
          <w:rFonts w:hint="eastAsia" w:cs="Times New Roman"/>
          <w:color w:val="auto"/>
          <w:lang w:eastAsia="zh-CN"/>
        </w:rPr>
        <w:t>2020年5月，住建部出台了《住房和城乡建设部关于推进建筑垃圾减量化的指导意见》（建质202046号），规定了工作目标：2020年底，各地区建筑垃圾减量化工作机制初步建立。2025年底，各地区建筑垃圾减量化工作机制进一步完善，实现新建建筑施工现场建筑垃圾（不包括工程渣土、工程泥浆）排放量每万平方米不高于300吨，装配式建筑施工现场建筑垃圾（不包括工程渣土工程泥浆）排放量每万平方米不高于200吨。</w:t>
      </w:r>
    </w:p>
    <w:p w14:paraId="42FF3EC9">
      <w:pPr>
        <w:bidi w:val="0"/>
        <w:rPr>
          <w:rFonts w:hint="default" w:ascii="Times New Roman" w:hAnsi="Times New Roman" w:cs="Times New Roman"/>
          <w:color w:val="auto"/>
        </w:rPr>
      </w:pPr>
      <w:r>
        <w:rPr>
          <w:rFonts w:hint="default" w:ascii="Times New Roman" w:hAnsi="Times New Roman" w:cs="Times New Roman"/>
          <w:color w:val="auto"/>
        </w:rPr>
        <w:t>2020年9月，新修订的《中华人民共和国固体废物污染环境防治法》</w:t>
      </w:r>
      <w:r>
        <w:rPr>
          <w:rFonts w:hint="eastAsia" w:cs="Times New Roman"/>
          <w:color w:val="auto"/>
          <w:lang w:eastAsia="zh-CN"/>
        </w:rPr>
        <w:t>（以下简称</w:t>
      </w:r>
      <w:r>
        <w:rPr>
          <w:rFonts w:hint="default" w:ascii="Times New Roman" w:hAnsi="Times New Roman" w:cs="Times New Roman"/>
          <w:color w:val="auto"/>
        </w:rPr>
        <w:t>固废法</w:t>
      </w:r>
      <w:r>
        <w:rPr>
          <w:rFonts w:hint="eastAsia" w:cs="Times New Roman"/>
          <w:color w:val="auto"/>
          <w:lang w:eastAsia="zh-CN"/>
        </w:rPr>
        <w:t>）</w:t>
      </w:r>
      <w:r>
        <w:rPr>
          <w:rFonts w:hint="default" w:ascii="Times New Roman" w:hAnsi="Times New Roman" w:cs="Times New Roman"/>
          <w:color w:val="auto"/>
        </w:rPr>
        <w:t>施行。新固废法对县级以上地方人民政府及主管部门的建筑垃圾管理从法律上提出了建立</w:t>
      </w:r>
      <w:r>
        <w:rPr>
          <w:rFonts w:hint="eastAsia" w:cs="Times New Roman"/>
          <w:color w:val="auto"/>
          <w:lang w:eastAsia="zh-CN"/>
        </w:rPr>
        <w:t>“</w:t>
      </w:r>
      <w:r>
        <w:rPr>
          <w:rFonts w:hint="default" w:ascii="Times New Roman" w:hAnsi="Times New Roman" w:cs="Times New Roman"/>
          <w:color w:val="auto"/>
        </w:rPr>
        <w:t>政府版</w:t>
      </w:r>
      <w:r>
        <w:rPr>
          <w:rFonts w:hint="eastAsia" w:cs="Times New Roman"/>
          <w:color w:val="auto"/>
          <w:lang w:eastAsia="zh-CN"/>
        </w:rPr>
        <w:t>”</w:t>
      </w:r>
      <w:r>
        <w:rPr>
          <w:rFonts w:hint="default" w:ascii="Times New Roman" w:hAnsi="Times New Roman" w:cs="Times New Roman"/>
          <w:color w:val="auto"/>
        </w:rPr>
        <w:t>的分类、利用和管理的</w:t>
      </w:r>
      <w:r>
        <w:rPr>
          <w:rFonts w:hint="eastAsia" w:cs="Times New Roman"/>
          <w:color w:val="auto"/>
          <w:lang w:eastAsia="zh-CN"/>
        </w:rPr>
        <w:t>“</w:t>
      </w:r>
      <w:r>
        <w:rPr>
          <w:rFonts w:hint="default" w:ascii="Times New Roman" w:hAnsi="Times New Roman" w:cs="Times New Roman"/>
          <w:color w:val="auto"/>
        </w:rPr>
        <w:t>两制度一体系</w:t>
      </w:r>
      <w:r>
        <w:rPr>
          <w:rFonts w:hint="eastAsia" w:cs="Times New Roman"/>
          <w:color w:val="auto"/>
          <w:lang w:eastAsia="zh-CN"/>
        </w:rPr>
        <w:t>”</w:t>
      </w:r>
      <w:r>
        <w:rPr>
          <w:rFonts w:hint="default" w:ascii="Times New Roman" w:hAnsi="Times New Roman" w:cs="Times New Roman"/>
          <w:color w:val="auto"/>
        </w:rPr>
        <w:t>新要求。新固废法要求，县级以上地方人民政府应当加强建筑垃圾污染环境的防治，建立建筑垃圾分类处理制度</w:t>
      </w:r>
      <w:r>
        <w:rPr>
          <w:rFonts w:hint="eastAsia" w:cs="Times New Roman"/>
          <w:color w:val="auto"/>
          <w:lang w:eastAsia="zh-CN"/>
        </w:rPr>
        <w:t>；</w:t>
      </w:r>
      <w:r>
        <w:rPr>
          <w:rFonts w:hint="default" w:ascii="Times New Roman" w:hAnsi="Times New Roman" w:cs="Times New Roman"/>
          <w:color w:val="auto"/>
        </w:rPr>
        <w:t>应当制定包括源头减量、分类处理、消纳设施和场所布局及建设等在内的建筑垃圾污染环境防治工作规划。</w:t>
      </w:r>
    </w:p>
    <w:p w14:paraId="598BA85C">
      <w:pPr>
        <w:bidi w:val="0"/>
        <w:rPr>
          <w:rFonts w:hint="default" w:ascii="Times New Roman" w:hAnsi="Times New Roman" w:cs="Times New Roman"/>
          <w:color w:val="auto"/>
        </w:rPr>
      </w:pPr>
      <w:r>
        <w:rPr>
          <w:rFonts w:hint="default" w:ascii="Times New Roman" w:hAnsi="Times New Roman" w:cs="Times New Roman"/>
          <w:color w:val="auto"/>
        </w:rPr>
        <w:t>2021年12月，国家生态环境部办公厅印发《关于印发</w:t>
      </w:r>
      <w:r>
        <w:rPr>
          <w:rFonts w:hint="eastAsia" w:cs="Times New Roman"/>
          <w:color w:val="auto"/>
          <w:lang w:eastAsia="zh-CN"/>
        </w:rPr>
        <w:t>〈“</w:t>
      </w:r>
      <w:r>
        <w:rPr>
          <w:rFonts w:hint="default" w:ascii="Times New Roman" w:hAnsi="Times New Roman" w:cs="Times New Roman"/>
          <w:color w:val="auto"/>
        </w:rPr>
        <w:t>十四五</w:t>
      </w:r>
      <w:r>
        <w:rPr>
          <w:rFonts w:hint="eastAsia" w:cs="Times New Roman"/>
          <w:color w:val="auto"/>
          <w:lang w:eastAsia="zh-CN"/>
        </w:rPr>
        <w:t>”</w:t>
      </w:r>
      <w:r>
        <w:rPr>
          <w:rFonts w:hint="default" w:ascii="Times New Roman" w:hAnsi="Times New Roman" w:cs="Times New Roman"/>
          <w:color w:val="auto"/>
        </w:rPr>
        <w:t>时期</w:t>
      </w:r>
      <w:r>
        <w:rPr>
          <w:rFonts w:hint="eastAsia" w:cs="Times New Roman"/>
          <w:color w:val="auto"/>
          <w:lang w:eastAsia="zh-CN"/>
        </w:rPr>
        <w:t>“</w:t>
      </w:r>
      <w:r>
        <w:rPr>
          <w:rFonts w:hint="default" w:ascii="Times New Roman" w:hAnsi="Times New Roman" w:cs="Times New Roman"/>
          <w:color w:val="auto"/>
        </w:rPr>
        <w:t>无废城市</w:t>
      </w:r>
      <w:r>
        <w:rPr>
          <w:rFonts w:hint="eastAsia" w:cs="Times New Roman"/>
          <w:color w:val="auto"/>
          <w:lang w:eastAsia="zh-CN"/>
        </w:rPr>
        <w:t>”</w:t>
      </w:r>
      <w:r>
        <w:rPr>
          <w:rFonts w:hint="default" w:ascii="Times New Roman" w:hAnsi="Times New Roman" w:cs="Times New Roman"/>
          <w:color w:val="auto"/>
        </w:rPr>
        <w:t>建设工作方案</w:t>
      </w:r>
      <w:r>
        <w:rPr>
          <w:rFonts w:hint="eastAsia" w:cs="Times New Roman"/>
          <w:color w:val="auto"/>
          <w:lang w:eastAsia="zh-CN"/>
        </w:rPr>
        <w:t>〉</w:t>
      </w:r>
      <w:r>
        <w:rPr>
          <w:rFonts w:hint="default" w:ascii="Times New Roman" w:hAnsi="Times New Roman" w:cs="Times New Roman"/>
          <w:color w:val="auto"/>
        </w:rPr>
        <w:t>的通知》</w:t>
      </w:r>
      <w:r>
        <w:rPr>
          <w:rFonts w:hint="eastAsia" w:cs="Times New Roman"/>
          <w:color w:val="auto"/>
          <w:lang w:eastAsia="zh-CN"/>
        </w:rPr>
        <w:t>（</w:t>
      </w:r>
      <w:r>
        <w:rPr>
          <w:rFonts w:hint="default" w:ascii="Times New Roman" w:hAnsi="Times New Roman" w:cs="Times New Roman"/>
          <w:color w:val="auto"/>
        </w:rPr>
        <w:t>环固体</w:t>
      </w:r>
      <w:r>
        <w:rPr>
          <w:rFonts w:hint="eastAsia" w:cs="Times New Roman"/>
          <w:color w:val="auto"/>
          <w:lang w:eastAsia="zh-CN"/>
        </w:rPr>
        <w:t>〔2021〕114号）</w:t>
      </w:r>
      <w:r>
        <w:rPr>
          <w:rFonts w:hint="default" w:ascii="Times New Roman" w:hAnsi="Times New Roman" w:cs="Times New Roman"/>
          <w:color w:val="auto"/>
        </w:rPr>
        <w:t>，提出推动100个左右地级及以上城市开展</w:t>
      </w:r>
      <w:r>
        <w:rPr>
          <w:rFonts w:hint="eastAsia" w:cs="Times New Roman"/>
          <w:color w:val="auto"/>
          <w:lang w:eastAsia="zh-CN"/>
        </w:rPr>
        <w:t>“</w:t>
      </w:r>
      <w:r>
        <w:rPr>
          <w:rFonts w:hint="default" w:ascii="Times New Roman" w:hAnsi="Times New Roman" w:cs="Times New Roman"/>
          <w:color w:val="auto"/>
        </w:rPr>
        <w:t>无废城市</w:t>
      </w:r>
      <w:r>
        <w:rPr>
          <w:rFonts w:hint="eastAsia" w:cs="Times New Roman"/>
          <w:color w:val="auto"/>
          <w:lang w:eastAsia="zh-CN"/>
        </w:rPr>
        <w:t>”</w:t>
      </w:r>
      <w:r>
        <w:rPr>
          <w:rFonts w:hint="default" w:ascii="Times New Roman" w:hAnsi="Times New Roman" w:cs="Times New Roman"/>
          <w:color w:val="auto"/>
        </w:rPr>
        <w:t>建设，其中建筑垃圾资源化利用率是其建设指标体系中的必选指标。建设方案要求加强全过程管理，推进建筑垃圾综合利用，推动建筑材料循环利用。</w:t>
      </w:r>
    </w:p>
    <w:p w14:paraId="18D826C8">
      <w:pPr>
        <w:bidi w:val="0"/>
        <w:rPr>
          <w:rFonts w:hint="eastAsia" w:cs="Times New Roman"/>
          <w:color w:val="auto"/>
          <w:lang w:val="en-US" w:eastAsia="zh-CN"/>
        </w:rPr>
      </w:pPr>
      <w:r>
        <w:rPr>
          <w:rFonts w:hint="default" w:ascii="Times New Roman" w:hAnsi="Times New Roman" w:cs="Times New Roman"/>
          <w:color w:val="auto"/>
        </w:rPr>
        <w:t>202</w:t>
      </w:r>
      <w:r>
        <w:rPr>
          <w:rFonts w:hint="eastAsia" w:cs="Times New Roman"/>
          <w:color w:val="auto"/>
          <w:lang w:val="en-US" w:eastAsia="zh-CN"/>
        </w:rPr>
        <w:t>3</w:t>
      </w:r>
      <w:r>
        <w:rPr>
          <w:rFonts w:hint="default" w:ascii="Times New Roman" w:hAnsi="Times New Roman" w:cs="Times New Roman"/>
          <w:color w:val="auto"/>
        </w:rPr>
        <w:t>年，</w:t>
      </w:r>
      <w:r>
        <w:rPr>
          <w:rFonts w:hint="eastAsia" w:cs="Times New Roman"/>
          <w:color w:val="auto"/>
          <w:lang w:val="en-US" w:eastAsia="zh-CN"/>
        </w:rPr>
        <w:t>辽宁</w:t>
      </w:r>
      <w:r>
        <w:rPr>
          <w:rFonts w:hint="default" w:ascii="Times New Roman" w:hAnsi="Times New Roman" w:cs="Times New Roman"/>
          <w:color w:val="auto"/>
        </w:rPr>
        <w:t>省发布《辽宁省</w:t>
      </w:r>
      <w:r>
        <w:rPr>
          <w:rFonts w:hint="eastAsia" w:cs="Times New Roman"/>
          <w:color w:val="auto"/>
          <w:lang w:eastAsia="zh-CN"/>
        </w:rPr>
        <w:t>“</w:t>
      </w:r>
      <w:r>
        <w:rPr>
          <w:rFonts w:hint="default" w:ascii="Times New Roman" w:hAnsi="Times New Roman" w:cs="Times New Roman"/>
          <w:color w:val="auto"/>
        </w:rPr>
        <w:t>十四五</w:t>
      </w:r>
      <w:r>
        <w:rPr>
          <w:rFonts w:hint="eastAsia" w:cs="Times New Roman"/>
          <w:color w:val="auto"/>
          <w:lang w:eastAsia="zh-CN"/>
        </w:rPr>
        <w:t>”</w:t>
      </w:r>
      <w:r>
        <w:rPr>
          <w:rFonts w:hint="default" w:ascii="Times New Roman" w:hAnsi="Times New Roman" w:cs="Times New Roman"/>
          <w:color w:val="auto"/>
        </w:rPr>
        <w:t>时期</w:t>
      </w:r>
      <w:r>
        <w:rPr>
          <w:rFonts w:hint="eastAsia" w:cs="Times New Roman"/>
          <w:color w:val="auto"/>
          <w:lang w:eastAsia="zh-CN"/>
        </w:rPr>
        <w:t>“</w:t>
      </w:r>
      <w:r>
        <w:rPr>
          <w:rFonts w:hint="default" w:ascii="Times New Roman" w:hAnsi="Times New Roman" w:cs="Times New Roman"/>
          <w:color w:val="auto"/>
        </w:rPr>
        <w:t>无废城市</w:t>
      </w:r>
      <w:r>
        <w:rPr>
          <w:rFonts w:hint="eastAsia" w:cs="Times New Roman"/>
          <w:color w:val="auto"/>
          <w:lang w:eastAsia="zh-CN"/>
        </w:rPr>
        <w:t>”</w:t>
      </w:r>
      <w:r>
        <w:rPr>
          <w:rFonts w:hint="default" w:ascii="Times New Roman" w:hAnsi="Times New Roman" w:cs="Times New Roman"/>
          <w:color w:val="auto"/>
        </w:rPr>
        <w:t>建设推进方案》，方案要求</w:t>
      </w:r>
      <w:r>
        <w:rPr>
          <w:rFonts w:hint="eastAsia" w:cs="Times New Roman"/>
          <w:color w:val="auto"/>
          <w:lang w:val="en-US" w:eastAsia="zh-CN"/>
        </w:rPr>
        <w:t>开展存量建筑垃圾调查、治理及修复，推广绿色设计和绿色建造，建立建筑垃圾全过程管理制度，规范建筑垃圾产生、收集、贮存、运输、利用、处置行为，加强建筑垃圾资源化利用，建设正规建筑垃圾消纳场。</w:t>
      </w:r>
    </w:p>
    <w:p w14:paraId="2A029A93">
      <w:pPr>
        <w:bidi w:val="0"/>
        <w:rPr>
          <w:rFonts w:hint="eastAsia"/>
          <w:color w:val="auto"/>
          <w:lang w:val="en-US" w:eastAsia="zh-CN"/>
        </w:rPr>
      </w:pPr>
      <w:r>
        <w:rPr>
          <w:rFonts w:hint="eastAsia"/>
          <w:color w:val="auto"/>
          <w:lang w:val="en-US" w:eastAsia="zh-CN"/>
        </w:rPr>
        <w:t>2024年5月，辽宁省住房和城乡建设厅下发《关于全省建筑垃圾污染环境防治规划编制工作的通知》，启动“辽宁省建筑垃圾污染环境防治工作规划”编制工作。《通知》中指出为有效指导规划编制工作，省厅将编制《辽宁省建筑垃圾污染环境防治工作规划编制导则》，同时启动《辽宁省建筑垃圾污染环境防治工作规划》编制工作，尚未编制规划的市、县要同步启动规划编制工作。</w:t>
      </w:r>
    </w:p>
    <w:p w14:paraId="4E38BB7B">
      <w:pPr>
        <w:bidi w:val="0"/>
        <w:rPr>
          <w:rFonts w:hint="eastAsia"/>
          <w:color w:val="auto"/>
          <w:lang w:val="en-US" w:eastAsia="zh-CN"/>
        </w:rPr>
      </w:pPr>
      <w:r>
        <w:rPr>
          <w:rFonts w:hint="eastAsia"/>
          <w:color w:val="auto"/>
          <w:lang w:val="en-US" w:eastAsia="zh-CN"/>
        </w:rPr>
        <w:t>2024年9月，辽宁省第十四届人民代表大会常务委员会第十一次会议通过《辽宁省固体废物污染环境防治条例》，该条例于2024年12月1日施行。《条例》中明确要求省、市、县人民政府应当加强建筑垃圾污染环境防治，实行建筑垃圾分类处理制度，依法制定包括源头减量、分类处理、消纳设施和场所布局及建设等在内的建筑垃圾污染环境防治工作规划，提升建筑垃圾治理水平。</w:t>
      </w:r>
    </w:p>
    <w:p w14:paraId="38ECBF2A">
      <w:pPr>
        <w:bidi w:val="0"/>
        <w:rPr>
          <w:rFonts w:hint="default" w:cs="Times New Roman"/>
          <w:color w:val="auto"/>
          <w:highlight w:val="none"/>
          <w:lang w:val="en-US" w:eastAsia="zh-CN"/>
        </w:rPr>
      </w:pPr>
      <w:r>
        <w:rPr>
          <w:rFonts w:hint="default" w:cs="Times New Roman"/>
          <w:color w:val="auto"/>
          <w:highlight w:val="none"/>
          <w:lang w:val="en-US" w:eastAsia="zh-CN"/>
        </w:rPr>
        <w:t>近些年来，随着经济社会发展、城市化建设的步伐不断加快，新建、扩建、拆除、改造以及装修项目不断增多，我国建筑垃圾的数量也逐年递增。如果继续采取传统的填埋或露天堆放的处置方式，会对生态系统造成更大的破坏</w:t>
      </w:r>
      <w:r>
        <w:rPr>
          <w:rFonts w:hint="eastAsia" w:cs="Times New Roman"/>
          <w:color w:val="auto"/>
          <w:highlight w:val="none"/>
          <w:lang w:val="en-US" w:eastAsia="zh-CN"/>
        </w:rPr>
        <w:t>，而且浪费了许多可以资源化利用的建筑材料。</w:t>
      </w:r>
      <w:r>
        <w:rPr>
          <w:rFonts w:hint="default" w:cs="Times New Roman"/>
          <w:color w:val="auto"/>
          <w:highlight w:val="none"/>
          <w:lang w:val="en-US" w:eastAsia="zh-CN"/>
        </w:rPr>
        <w:t>随着这一问题的日益凸显以及循环经济理念的出现，人们逐渐对建筑垃圾的资源化价值给予重视。</w:t>
      </w:r>
    </w:p>
    <w:p w14:paraId="2BA758AA">
      <w:pPr>
        <w:bidi w:val="0"/>
        <w:rPr>
          <w:rFonts w:hint="default" w:cs="Times New Roman"/>
          <w:color w:val="auto"/>
          <w:highlight w:val="none"/>
          <w:lang w:val="en-US" w:eastAsia="zh-CN"/>
        </w:rPr>
      </w:pPr>
      <w:r>
        <w:rPr>
          <w:rFonts w:hint="default" w:cs="Times New Roman"/>
          <w:color w:val="auto"/>
          <w:highlight w:val="none"/>
          <w:lang w:val="en-US" w:eastAsia="zh-CN"/>
        </w:rPr>
        <w:t>为进一步统筹部署</w:t>
      </w:r>
      <w:r>
        <w:rPr>
          <w:rFonts w:hint="eastAsia" w:cs="Times New Roman"/>
          <w:color w:val="auto"/>
          <w:highlight w:val="none"/>
          <w:lang w:val="en-US" w:eastAsia="zh-CN"/>
        </w:rPr>
        <w:t>本溪市</w:t>
      </w:r>
      <w:r>
        <w:rPr>
          <w:rFonts w:hint="default" w:cs="Times New Roman"/>
          <w:color w:val="auto"/>
          <w:highlight w:val="none"/>
          <w:lang w:val="en-US" w:eastAsia="zh-CN"/>
        </w:rPr>
        <w:t>建筑垃圾源头减量、</w:t>
      </w:r>
      <w:r>
        <w:rPr>
          <w:rFonts w:hint="eastAsia" w:cs="Times New Roman"/>
          <w:color w:val="auto"/>
          <w:highlight w:val="none"/>
          <w:lang w:val="en-US" w:eastAsia="zh-CN"/>
        </w:rPr>
        <w:t>收集运输</w:t>
      </w:r>
      <w:r>
        <w:rPr>
          <w:rFonts w:hint="default" w:cs="Times New Roman"/>
          <w:color w:val="auto"/>
          <w:highlight w:val="none"/>
          <w:lang w:val="en-US" w:eastAsia="zh-CN"/>
        </w:rPr>
        <w:t>、综合利用、</w:t>
      </w:r>
      <w:r>
        <w:rPr>
          <w:rFonts w:hint="eastAsia" w:cs="Times New Roman"/>
          <w:color w:val="auto"/>
          <w:highlight w:val="none"/>
          <w:lang w:val="en-US" w:eastAsia="zh-CN"/>
        </w:rPr>
        <w:t>处置</w:t>
      </w:r>
      <w:r>
        <w:rPr>
          <w:rFonts w:hint="default" w:cs="Times New Roman"/>
          <w:color w:val="auto"/>
          <w:highlight w:val="none"/>
          <w:lang w:val="en-US" w:eastAsia="zh-CN"/>
        </w:rPr>
        <w:t>场所布局及建设、</w:t>
      </w:r>
      <w:r>
        <w:rPr>
          <w:rFonts w:hint="eastAsia" w:cs="Times New Roman"/>
          <w:color w:val="auto"/>
          <w:highlight w:val="none"/>
          <w:lang w:val="en-US" w:eastAsia="zh-CN"/>
        </w:rPr>
        <w:t>监督管理</w:t>
      </w:r>
      <w:r>
        <w:rPr>
          <w:rFonts w:hint="default" w:cs="Times New Roman"/>
          <w:color w:val="auto"/>
          <w:highlight w:val="none"/>
          <w:lang w:val="en-US" w:eastAsia="zh-CN"/>
        </w:rPr>
        <w:t>、全过程数字化治理等工作，加快健全完善与城市发展需求相匹配的建筑垃圾治理体系，</w:t>
      </w:r>
      <w:r>
        <w:rPr>
          <w:rFonts w:hint="eastAsia" w:cs="Times New Roman"/>
          <w:color w:val="auto"/>
          <w:highlight w:val="none"/>
          <w:lang w:val="en-US" w:eastAsia="zh-CN"/>
        </w:rPr>
        <w:t>指导本溪市</w:t>
      </w:r>
      <w:r>
        <w:rPr>
          <w:rFonts w:hint="default" w:cs="Times New Roman"/>
          <w:color w:val="auto"/>
          <w:highlight w:val="none"/>
          <w:lang w:val="en-US" w:eastAsia="zh-CN"/>
        </w:rPr>
        <w:t>在规划期内开展建筑垃圾治理和相关设施建设</w:t>
      </w:r>
      <w:r>
        <w:rPr>
          <w:rFonts w:hint="eastAsia" w:cs="Times New Roman"/>
          <w:color w:val="auto"/>
          <w:highlight w:val="none"/>
          <w:lang w:val="en-US" w:eastAsia="zh-CN"/>
        </w:rPr>
        <w:t>工作</w:t>
      </w:r>
      <w:r>
        <w:rPr>
          <w:rFonts w:hint="default" w:cs="Times New Roman"/>
          <w:color w:val="auto"/>
          <w:highlight w:val="none"/>
          <w:lang w:val="en-US" w:eastAsia="zh-CN"/>
        </w:rPr>
        <w:t>，特编制《</w:t>
      </w:r>
      <w:r>
        <w:rPr>
          <w:rFonts w:hint="eastAsia" w:cs="Times New Roman"/>
          <w:color w:val="auto"/>
          <w:highlight w:val="none"/>
          <w:lang w:val="en-US" w:eastAsia="zh-CN"/>
        </w:rPr>
        <w:t>本溪市</w:t>
      </w:r>
      <w:r>
        <w:rPr>
          <w:rFonts w:hint="default" w:cs="Times New Roman"/>
          <w:color w:val="auto"/>
          <w:highlight w:val="none"/>
          <w:lang w:val="en-US" w:eastAsia="zh-CN"/>
        </w:rPr>
        <w:t>建筑垃圾污染环境防治工作规划</w:t>
      </w:r>
      <w:r>
        <w:rPr>
          <w:rFonts w:hint="eastAsia" w:cs="Times New Roman"/>
          <w:color w:val="auto"/>
          <w:highlight w:val="none"/>
          <w:lang w:val="en-US" w:eastAsia="zh-CN"/>
        </w:rPr>
        <w:t>（</w:t>
      </w:r>
      <w:r>
        <w:rPr>
          <w:rFonts w:hint="default" w:cs="Times New Roman"/>
          <w:color w:val="auto"/>
          <w:highlight w:val="none"/>
          <w:lang w:val="en-US" w:eastAsia="zh-CN"/>
        </w:rPr>
        <w:t>2024—2035</w:t>
      </w:r>
      <w:r>
        <w:rPr>
          <w:rFonts w:hint="eastAsia" w:cs="Times New Roman"/>
          <w:color w:val="auto"/>
          <w:highlight w:val="none"/>
          <w:lang w:val="en-US" w:eastAsia="zh-CN"/>
        </w:rPr>
        <w:t>年）</w:t>
      </w:r>
      <w:r>
        <w:rPr>
          <w:rFonts w:hint="default" w:cs="Times New Roman"/>
          <w:color w:val="auto"/>
          <w:highlight w:val="none"/>
          <w:lang w:val="en-US" w:eastAsia="zh-CN"/>
        </w:rPr>
        <w:t>》</w:t>
      </w:r>
      <w:r>
        <w:rPr>
          <w:rFonts w:hint="eastAsia" w:cs="Times New Roman"/>
          <w:color w:val="auto"/>
          <w:highlight w:val="none"/>
          <w:lang w:val="en-US" w:eastAsia="zh-CN"/>
        </w:rPr>
        <w:t>。</w:t>
      </w:r>
    </w:p>
    <w:p w14:paraId="7AE1C200">
      <w:pPr>
        <w:pStyle w:val="3"/>
        <w:bidi w:val="0"/>
        <w:rPr>
          <w:rFonts w:hint="default"/>
          <w:color w:val="auto"/>
          <w:lang w:val="en-US" w:eastAsia="zh-CN"/>
        </w:rPr>
      </w:pPr>
      <w:bookmarkStart w:id="12" w:name="_Toc10601"/>
      <w:r>
        <w:rPr>
          <w:rFonts w:hint="default"/>
          <w:color w:val="auto"/>
          <w:lang w:val="en-US" w:eastAsia="zh-CN"/>
        </w:rPr>
        <w:t>1.</w:t>
      </w:r>
      <w:r>
        <w:rPr>
          <w:rFonts w:hint="eastAsia"/>
          <w:color w:val="auto"/>
          <w:lang w:val="en-US" w:eastAsia="zh-CN"/>
        </w:rPr>
        <w:t>2</w:t>
      </w:r>
      <w:r>
        <w:rPr>
          <w:rFonts w:hint="default"/>
          <w:color w:val="auto"/>
          <w:lang w:val="en-US" w:eastAsia="zh-CN"/>
        </w:rPr>
        <w:t xml:space="preserve"> 指导思想</w:t>
      </w:r>
      <w:bookmarkEnd w:id="12"/>
    </w:p>
    <w:p w14:paraId="24D9FD0F">
      <w:pPr>
        <w:bidi w:val="0"/>
        <w:rPr>
          <w:rFonts w:hint="default" w:ascii="Times New Roman" w:hAnsi="Times New Roman" w:eastAsia="宋体" w:cs="Times New Roman"/>
          <w:color w:val="auto"/>
          <w:spacing w:val="-12"/>
          <w:sz w:val="28"/>
          <w:szCs w:val="28"/>
          <w:highlight w:val="none"/>
          <w:lang w:val="en-US" w:eastAsia="zh-CN"/>
        </w:rPr>
      </w:pPr>
      <w:r>
        <w:rPr>
          <w:rFonts w:hint="default" w:ascii="Times New Roman" w:hAnsi="Times New Roman" w:cs="Times New Roman"/>
          <w:color w:val="auto"/>
          <w:highlight w:val="none"/>
          <w:lang w:val="en-US" w:eastAsia="zh-CN"/>
        </w:rPr>
        <w:t>以习近平新时代中国特色社会主义思想为指导，深入贯彻落实党的二十大精神，坚持创新、协调、绿色、开放、共享发展理念，尊重自然、顺应自然、保护自然，是全面建设社会主义现代化国家的内在要求。必须牢固树立和践行绿水青山就是金山银山的理念，站在人与自然和谐共生的高度谋划发展</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根据《中华人民共和国固体废物污染环境防治法</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中华人民共和国大气污染防治法</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城市市容和环境卫生管理条例</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城市建筑垃圾管理规定</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辽宁省固体废物污染环境防治</w:t>
      </w:r>
      <w:r>
        <w:rPr>
          <w:rFonts w:hint="eastAsia" w:cs="Times New Roman"/>
          <w:color w:val="auto"/>
          <w:highlight w:val="none"/>
          <w:lang w:val="en-US" w:eastAsia="zh-CN"/>
        </w:rPr>
        <w:t>条例</w:t>
      </w:r>
      <w:r>
        <w:rPr>
          <w:rFonts w:hint="default" w:ascii="Times New Roman" w:hAnsi="Times New Roman" w:cs="Times New Roman"/>
          <w:color w:val="auto"/>
          <w:highlight w:val="none"/>
          <w:lang w:val="en-US" w:eastAsia="zh-CN"/>
        </w:rPr>
        <w:t>》，结合</w:t>
      </w:r>
      <w:r>
        <w:rPr>
          <w:rFonts w:hint="eastAsia" w:cs="Times New Roman"/>
          <w:color w:val="auto"/>
          <w:highlight w:val="none"/>
          <w:lang w:val="en-US" w:eastAsia="zh-CN"/>
        </w:rPr>
        <w:t>本溪市</w:t>
      </w:r>
      <w:r>
        <w:rPr>
          <w:rFonts w:hint="default" w:ascii="Times New Roman" w:hAnsi="Times New Roman" w:cs="Times New Roman"/>
          <w:color w:val="auto"/>
          <w:highlight w:val="none"/>
          <w:lang w:val="en-US" w:eastAsia="zh-CN"/>
        </w:rPr>
        <w:t>实际，综合考虑资源化利用、经济社会可持续发展、生态环境保护的关系，以发展循环经济、防治建筑垃圾污染环境、推进生态文明建设、改善人居环境为原则，提高建筑垃圾减量化、资源化、无害化</w:t>
      </w:r>
      <w:r>
        <w:rPr>
          <w:rFonts w:hint="eastAsia" w:cs="Times New Roman"/>
          <w:color w:val="auto"/>
          <w:highlight w:val="none"/>
          <w:lang w:val="en-US" w:eastAsia="zh-CN"/>
        </w:rPr>
        <w:t>、数字化</w:t>
      </w:r>
      <w:r>
        <w:rPr>
          <w:rFonts w:hint="default" w:ascii="Times New Roman" w:hAnsi="Times New Roman" w:cs="Times New Roman"/>
          <w:color w:val="auto"/>
          <w:highlight w:val="none"/>
          <w:lang w:val="en-US" w:eastAsia="zh-CN"/>
        </w:rPr>
        <w:t>水平，建立政府统筹、属地负责分类处置、全程管控、布局合理、技术先进、资源利用的建筑垃圾治理体系，进一步促进城市建筑垃圾综合利用产业化发展，实现建筑垃圾治理工作经济效益、生态效益和社会效益的同步推进。</w:t>
      </w:r>
    </w:p>
    <w:p w14:paraId="71DEE859">
      <w:pPr>
        <w:pStyle w:val="3"/>
        <w:bidi w:val="0"/>
        <w:rPr>
          <w:rFonts w:hint="default"/>
          <w:color w:val="auto"/>
          <w:lang w:val="en-US" w:eastAsia="zh-CN"/>
        </w:rPr>
      </w:pPr>
      <w:bookmarkStart w:id="13" w:name="_Toc26164"/>
      <w:r>
        <w:rPr>
          <w:rFonts w:hint="default"/>
          <w:color w:val="auto"/>
          <w:lang w:val="en-US" w:eastAsia="zh-CN"/>
        </w:rPr>
        <w:t>1.</w:t>
      </w:r>
      <w:r>
        <w:rPr>
          <w:rFonts w:hint="eastAsia"/>
          <w:color w:val="auto"/>
          <w:lang w:val="en-US" w:eastAsia="zh-CN"/>
        </w:rPr>
        <w:t>3</w:t>
      </w:r>
      <w:r>
        <w:rPr>
          <w:rFonts w:hint="default"/>
          <w:color w:val="auto"/>
          <w:lang w:val="en-US" w:eastAsia="zh-CN"/>
        </w:rPr>
        <w:t xml:space="preserve"> 规划原则</w:t>
      </w:r>
      <w:bookmarkEnd w:id="13"/>
    </w:p>
    <w:p w14:paraId="0E7619ED">
      <w:pPr>
        <w:bidi w:val="0"/>
        <w:ind w:firstLine="1244"/>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w:t>
      </w:r>
      <w:r>
        <w:rPr>
          <w:rFonts w:hint="default" w:ascii="Times New Roman" w:hAnsi="Times New Roman" w:cs="Times New Roman"/>
          <w:b/>
          <w:bCs/>
          <w:color w:val="auto"/>
          <w:highlight w:val="none"/>
          <w:lang w:val="en-US" w:eastAsia="zh-CN"/>
        </w:rPr>
        <w:t>全面调研，深入分析。</w:t>
      </w:r>
      <w:r>
        <w:rPr>
          <w:rFonts w:hint="default" w:ascii="Times New Roman" w:hAnsi="Times New Roman" w:cs="Times New Roman"/>
          <w:color w:val="auto"/>
          <w:highlight w:val="none"/>
          <w:lang w:val="en-US" w:eastAsia="zh-CN"/>
        </w:rPr>
        <w:t>编制前应充分开展实地调研，全面了解掌握建筑垃圾产生行业、源头类型、产生量、利用量和处置量情况以及建筑垃圾处理设施和场所的规模和布局情况，借鉴先行地区经验，论证分析规划区建筑垃圾源头减量、利用和处置存在的主要问题与矛盾。</w:t>
      </w:r>
    </w:p>
    <w:p w14:paraId="6737324F">
      <w:pPr>
        <w:bidi w:val="0"/>
        <w:ind w:firstLine="1244"/>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w:t>
      </w:r>
      <w:r>
        <w:rPr>
          <w:rFonts w:hint="default" w:ascii="Times New Roman" w:hAnsi="Times New Roman" w:cs="Times New Roman"/>
          <w:b/>
          <w:bCs/>
          <w:color w:val="auto"/>
          <w:highlight w:val="none"/>
          <w:lang w:val="en-US" w:eastAsia="zh-CN"/>
        </w:rPr>
        <w:t>目标导向，补齐短板。</w:t>
      </w:r>
      <w:r>
        <w:rPr>
          <w:rFonts w:hint="default" w:ascii="Times New Roman" w:hAnsi="Times New Roman" w:cs="Times New Roman"/>
          <w:color w:val="auto"/>
          <w:highlight w:val="none"/>
          <w:lang w:val="en-US" w:eastAsia="zh-CN"/>
        </w:rPr>
        <w:t>聚焦建筑垃圾优先源头减量化、充分资源化利用、全程无害化处理，以强化分类管理和全过程管理、降低建筑垃圾处理压力、提升综合利用水平、促进资源化产业发展、防范建筑垃圾环境污染风险等方面为重点，加快补齐相关治理体系和基础设施短板。</w:t>
      </w:r>
    </w:p>
    <w:p w14:paraId="5B855F48">
      <w:pPr>
        <w:bidi w:val="0"/>
        <w:ind w:firstLine="1244"/>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（3）</w:t>
      </w:r>
      <w:r>
        <w:rPr>
          <w:rFonts w:hint="default" w:ascii="Times New Roman" w:hAnsi="Times New Roman" w:cs="Times New Roman"/>
          <w:b/>
          <w:bCs/>
          <w:color w:val="auto"/>
          <w:highlight w:val="none"/>
          <w:lang w:val="en-US" w:eastAsia="zh-CN"/>
        </w:rPr>
        <w:t>因地制宜，科学规划。</w:t>
      </w:r>
      <w:r>
        <w:rPr>
          <w:rFonts w:hint="default" w:ascii="Times New Roman" w:hAnsi="Times New Roman" w:cs="Times New Roman"/>
          <w:color w:val="auto"/>
          <w:highlight w:val="none"/>
          <w:lang w:val="en-US" w:eastAsia="zh-CN"/>
        </w:rPr>
        <w:t>立足当前需求，兼顾长远发展，充分考虑当地经济社会发展和生态环境状况，合理确定建筑垃圾转运调配、资源化利用、堆填、填埋处置等处理设施和场所的建设目标和工程规模，确保所产生的建筑垃圾妥善利用和处置，推进产消平衡</w:t>
      </w:r>
      <w:r>
        <w:rPr>
          <w:rFonts w:hint="eastAsia" w:cs="Times New Roman"/>
          <w:color w:val="auto"/>
          <w:highlight w:val="none"/>
          <w:lang w:val="en-US" w:eastAsia="zh-CN"/>
        </w:rPr>
        <w:t>。</w:t>
      </w:r>
    </w:p>
    <w:p w14:paraId="0158349F">
      <w:pPr>
        <w:bidi w:val="0"/>
        <w:ind w:firstLine="1244"/>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（4）</w:t>
      </w:r>
      <w:r>
        <w:rPr>
          <w:rFonts w:hint="default" w:ascii="Times New Roman" w:hAnsi="Times New Roman" w:cs="Times New Roman"/>
          <w:b/>
          <w:bCs/>
          <w:color w:val="auto"/>
          <w:highlight w:val="none"/>
          <w:lang w:val="en-US" w:eastAsia="zh-CN"/>
        </w:rPr>
        <w:t>全程谋划，推进分类。</w:t>
      </w:r>
      <w:r>
        <w:rPr>
          <w:rFonts w:hint="default" w:ascii="Times New Roman" w:hAnsi="Times New Roman" w:cs="Times New Roman"/>
          <w:color w:val="auto"/>
          <w:highlight w:val="none"/>
          <w:lang w:val="en-US" w:eastAsia="zh-CN"/>
        </w:rPr>
        <w:t>根据建筑垃圾分类利用情况，科学预测工程渣土、工程泥浆、工程垃圾、拆除垃圾、装修垃圾等各类建筑垃圾产生量，加强分类收集、分类运输、分类利用、分类处置等各环节的衔接配套，推进建筑垃圾精细化分类分质利用和全过程管理最大限度地减少填埋处置量。</w:t>
      </w:r>
    </w:p>
    <w:p w14:paraId="1454AB85">
      <w:pPr>
        <w:bidi w:val="0"/>
        <w:ind w:firstLine="1244"/>
        <w:rPr>
          <w:rFonts w:hint="eastAsia" w:cs="Times New Roman"/>
          <w:color w:val="auto"/>
          <w:highlight w:val="none"/>
          <w:lang w:val="en-US" w:eastAsia="zh-CN"/>
        </w:rPr>
      </w:pPr>
      <w:r>
        <w:rPr>
          <w:rFonts w:hint="eastAsia" w:cs="Times New Roman"/>
          <w:color w:val="auto"/>
          <w:highlight w:val="none"/>
          <w:lang w:val="en-US" w:eastAsia="zh-CN"/>
        </w:rPr>
        <w:t>（5）</w:t>
      </w:r>
      <w:r>
        <w:rPr>
          <w:rFonts w:hint="eastAsia" w:cs="Times New Roman"/>
          <w:b/>
          <w:bCs/>
          <w:color w:val="auto"/>
          <w:highlight w:val="none"/>
          <w:lang w:val="en-US" w:eastAsia="zh-CN"/>
        </w:rPr>
        <w:t>强化衔接，充分论证。</w:t>
      </w:r>
      <w:r>
        <w:rPr>
          <w:rFonts w:hint="eastAsia" w:cs="Times New Roman"/>
          <w:color w:val="auto"/>
          <w:highlight w:val="none"/>
          <w:lang w:val="en-US" w:eastAsia="zh-CN"/>
        </w:rPr>
        <w:t>加强与各专项规划的衔接，强化环境、社会影响分析和预防，系统谋划、科学论证建筑垃圾处理设施和场所的空间布局，充分征求社会公众意见，防范“邻避”问题发生。</w:t>
      </w:r>
    </w:p>
    <w:p w14:paraId="52593CD9">
      <w:pPr>
        <w:bidi w:val="0"/>
        <w:ind w:firstLine="1244"/>
        <w:rPr>
          <w:rFonts w:hint="eastAsia" w:cs="Times New Roman"/>
          <w:color w:val="auto"/>
          <w:highlight w:val="none"/>
          <w:lang w:val="en-US" w:eastAsia="zh-CN"/>
        </w:rPr>
      </w:pPr>
      <w:r>
        <w:rPr>
          <w:rFonts w:hint="eastAsia" w:cs="Times New Roman"/>
          <w:color w:val="auto"/>
          <w:highlight w:val="none"/>
          <w:lang w:val="en-US" w:eastAsia="zh-CN"/>
        </w:rPr>
        <w:t>（6）</w:t>
      </w:r>
      <w:r>
        <w:rPr>
          <w:rFonts w:hint="eastAsia" w:cs="Times New Roman"/>
          <w:b/>
          <w:bCs/>
          <w:color w:val="auto"/>
          <w:highlight w:val="none"/>
          <w:lang w:val="en-US" w:eastAsia="zh-CN"/>
        </w:rPr>
        <w:t>政府引导，职责清晰。</w:t>
      </w:r>
      <w:r>
        <w:rPr>
          <w:rFonts w:hint="eastAsia" w:cs="Times New Roman"/>
          <w:color w:val="auto"/>
          <w:highlight w:val="none"/>
          <w:lang w:val="en-US" w:eastAsia="zh-CN"/>
        </w:rPr>
        <w:t>市、县（区）人民政府及相关部门要加强部门协作和联动，建立相应的政策体系和激励约束机制，明确建筑垃圾源头减量、分类、无害化处置、资源化利用的部门职责分工，加强建筑垃圾污染防治政策协同、部门协同、区域协同、产业协同，使建筑垃圾污染环境治理形成合力。</w:t>
      </w:r>
    </w:p>
    <w:p w14:paraId="7A2B3738">
      <w:pPr>
        <w:bidi w:val="0"/>
        <w:rPr>
          <w:rFonts w:hint="default" w:cs="Times New Roman"/>
          <w:color w:val="auto"/>
          <w:highlight w:val="none"/>
          <w:lang w:val="en-US" w:eastAsia="zh-CN"/>
        </w:rPr>
      </w:pPr>
      <w:r>
        <w:rPr>
          <w:rFonts w:hint="eastAsia" w:cs="Times New Roman"/>
          <w:color w:val="auto"/>
          <w:highlight w:val="none"/>
          <w:lang w:val="en-US" w:eastAsia="zh-CN"/>
        </w:rPr>
        <w:t>（7）</w:t>
      </w:r>
      <w:r>
        <w:rPr>
          <w:rFonts w:hint="eastAsia" w:cs="Times New Roman"/>
          <w:b/>
          <w:bCs/>
          <w:color w:val="auto"/>
          <w:highlight w:val="none"/>
          <w:lang w:val="en-US" w:eastAsia="zh-CN"/>
        </w:rPr>
        <w:t>系统推进，绿色低碳。</w:t>
      </w:r>
      <w:r>
        <w:rPr>
          <w:rFonts w:hint="eastAsia" w:cs="Times New Roman"/>
          <w:color w:val="auto"/>
          <w:highlight w:val="none"/>
          <w:lang w:val="en-US" w:eastAsia="zh-CN"/>
        </w:rPr>
        <w:t>在深入打好污染防治攻坚战以及碳达峰碳中和等重大战略部署下，系统谋划建筑垃圾污染环境防治工作任务，以减污降碳协同增效为目标，一体谋划、一体部署、一体推进，加快构建建筑垃圾循环利用体系，推进城市绿色低碳转型。</w:t>
      </w:r>
    </w:p>
    <w:p w14:paraId="6593453B">
      <w:pPr>
        <w:pStyle w:val="3"/>
        <w:bidi w:val="0"/>
        <w:rPr>
          <w:rFonts w:hint="default"/>
          <w:color w:val="auto"/>
        </w:rPr>
      </w:pPr>
      <w:bookmarkStart w:id="14" w:name="_bookmark4"/>
      <w:bookmarkEnd w:id="14"/>
      <w:bookmarkStart w:id="15" w:name="_bookmark3"/>
      <w:bookmarkEnd w:id="15"/>
      <w:bookmarkStart w:id="16" w:name="_Toc26591"/>
      <w:r>
        <w:rPr>
          <w:rFonts w:hint="default"/>
          <w:color w:val="auto"/>
        </w:rPr>
        <w:t>1.</w:t>
      </w:r>
      <w:r>
        <w:rPr>
          <w:rFonts w:hint="eastAsia"/>
          <w:color w:val="auto"/>
          <w:lang w:val="en-US" w:eastAsia="zh-CN"/>
        </w:rPr>
        <w:t>4</w:t>
      </w:r>
      <w:r>
        <w:rPr>
          <w:rFonts w:hint="default"/>
          <w:color w:val="auto"/>
          <w:lang w:val="en-US" w:eastAsia="zh-CN"/>
        </w:rPr>
        <w:t xml:space="preserve"> </w:t>
      </w:r>
      <w:r>
        <w:rPr>
          <w:rFonts w:hint="default"/>
          <w:color w:val="auto"/>
        </w:rPr>
        <w:t>规划依据</w:t>
      </w:r>
      <w:bookmarkEnd w:id="16"/>
    </w:p>
    <w:p w14:paraId="0E90CDB7">
      <w:pPr>
        <w:pStyle w:val="4"/>
        <w:bidi w:val="0"/>
        <w:rPr>
          <w:rFonts w:hint="default" w:ascii="Times New Roman" w:hAnsi="Times New Roman" w:cs="Times New Roman"/>
          <w:color w:val="auto"/>
        </w:rPr>
      </w:pPr>
      <w:bookmarkStart w:id="17" w:name="_Toc6628"/>
      <w:r>
        <w:rPr>
          <w:rFonts w:hint="default" w:ascii="Times New Roman" w:hAnsi="Times New Roman" w:cs="Times New Roman"/>
          <w:color w:val="auto"/>
        </w:rPr>
        <w:t>1.</w:t>
      </w:r>
      <w:r>
        <w:rPr>
          <w:rFonts w:hint="eastAsia" w:cs="Times New Roman"/>
          <w:color w:val="auto"/>
          <w:lang w:val="en-US" w:eastAsia="zh-CN"/>
        </w:rPr>
        <w:t>4</w:t>
      </w:r>
      <w:r>
        <w:rPr>
          <w:rFonts w:hint="default" w:ascii="Times New Roman" w:hAnsi="Times New Roman" w:cs="Times New Roman"/>
          <w:color w:val="auto"/>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法律、法规及政策文件</w:t>
      </w:r>
      <w:bookmarkEnd w:id="17"/>
    </w:p>
    <w:p w14:paraId="7C5412F7">
      <w:pPr>
        <w:bidi w:val="0"/>
        <w:rPr>
          <w:rFonts w:hint="default" w:ascii="Times New Roman" w:hAnsi="Times New Roman" w:cs="Times New Roman"/>
          <w:color w:val="auto"/>
        </w:rPr>
      </w:pPr>
      <w:r>
        <w:rPr>
          <w:rFonts w:hint="default" w:ascii="Times New Roman" w:hAnsi="Times New Roman" w:cs="Times New Roman"/>
          <w:color w:val="auto"/>
        </w:rPr>
        <w:t>《中华人民共和国环境保护法》</w:t>
      </w:r>
      <w:r>
        <w:rPr>
          <w:rFonts w:hint="eastAsia" w:cs="Times New Roman"/>
          <w:color w:val="auto"/>
          <w:lang w:eastAsia="zh-CN"/>
        </w:rPr>
        <w:t>（</w:t>
      </w:r>
      <w:r>
        <w:rPr>
          <w:rFonts w:hint="default" w:ascii="Times New Roman" w:hAnsi="Times New Roman" w:cs="Times New Roman"/>
          <w:color w:val="auto"/>
        </w:rPr>
        <w:t>2015</w:t>
      </w:r>
      <w:r>
        <w:rPr>
          <w:rFonts w:hint="eastAsia" w:cs="Times New Roman"/>
          <w:color w:val="auto"/>
          <w:lang w:val="en-US" w:eastAsia="zh-CN"/>
        </w:rPr>
        <w:t>.01.01</w:t>
      </w:r>
      <w:r>
        <w:rPr>
          <w:rFonts w:hint="eastAsia" w:cs="Times New Roman"/>
          <w:color w:val="auto"/>
          <w:lang w:eastAsia="zh-CN"/>
        </w:rPr>
        <w:t>）</w:t>
      </w:r>
    </w:p>
    <w:p w14:paraId="5BDD5080">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《中华人民共和国城乡规划法》（2019.04.23修正）</w:t>
      </w:r>
    </w:p>
    <w:p w14:paraId="2DC77F11">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《中华人民共和国固体废物污染环境防治法》</w:t>
      </w:r>
      <w:r>
        <w:rPr>
          <w:rFonts w:hint="eastAsia" w:cs="Times New Roman"/>
          <w:color w:val="auto"/>
          <w:lang w:val="en-US" w:eastAsia="zh-CN"/>
        </w:rPr>
        <w:t>（2020.09.01）</w:t>
      </w:r>
    </w:p>
    <w:p w14:paraId="077841E2">
      <w:pPr>
        <w:bidi w:val="0"/>
        <w:rPr>
          <w:rFonts w:hint="eastAsia" w:cs="Times New Roman"/>
          <w:color w:val="auto"/>
          <w:lang w:eastAsia="zh-CN"/>
        </w:rPr>
      </w:pPr>
      <w:r>
        <w:rPr>
          <w:rFonts w:hint="default" w:ascii="Times New Roman" w:hAnsi="Times New Roman" w:cs="Times New Roman"/>
          <w:color w:val="auto"/>
        </w:rPr>
        <w:t>《城市规划编制办法》</w:t>
      </w:r>
      <w:r>
        <w:rPr>
          <w:rFonts w:hint="eastAsia" w:cs="Times New Roman"/>
          <w:color w:val="auto"/>
          <w:lang w:eastAsia="zh-CN"/>
        </w:rPr>
        <w:t>（</w:t>
      </w:r>
      <w:r>
        <w:rPr>
          <w:rFonts w:hint="default" w:ascii="Times New Roman" w:hAnsi="Times New Roman" w:cs="Times New Roman"/>
          <w:color w:val="auto"/>
        </w:rPr>
        <w:t>建设部令第146号[2005]</w:t>
      </w:r>
      <w:r>
        <w:rPr>
          <w:rFonts w:hint="eastAsia" w:cs="Times New Roman"/>
          <w:color w:val="auto"/>
          <w:lang w:eastAsia="zh-CN"/>
        </w:rPr>
        <w:t>）</w:t>
      </w:r>
    </w:p>
    <w:p w14:paraId="434DDFC1">
      <w:pPr>
        <w:bidi w:val="0"/>
        <w:rPr>
          <w:rFonts w:hint="eastAsia" w:cs="Times New Roman"/>
          <w:color w:val="auto"/>
          <w:lang w:val="en-US" w:eastAsia="zh-CN"/>
        </w:rPr>
      </w:pPr>
      <w:r>
        <w:rPr>
          <w:rFonts w:hint="default" w:cs="Times New Roman"/>
          <w:color w:val="auto"/>
          <w:lang w:val="en-US" w:eastAsia="zh-CN"/>
        </w:rPr>
        <w:t>《中华人民共和国大气污染防治法》</w:t>
      </w:r>
      <w:r>
        <w:rPr>
          <w:rFonts w:hint="eastAsia" w:cs="Times New Roman"/>
          <w:color w:val="auto"/>
          <w:lang w:val="en-US" w:eastAsia="zh-CN"/>
        </w:rPr>
        <w:t>（2018.10.26修正）</w:t>
      </w:r>
    </w:p>
    <w:p w14:paraId="101CBAB3">
      <w:pPr>
        <w:bidi w:val="0"/>
        <w:rPr>
          <w:rFonts w:hint="eastAsia" w:cs="Times New Roman"/>
          <w:color w:val="auto"/>
          <w:lang w:val="en-US" w:eastAsia="zh-CN"/>
        </w:rPr>
      </w:pPr>
      <w:r>
        <w:rPr>
          <w:rFonts w:hint="default" w:cs="Times New Roman"/>
          <w:color w:val="auto"/>
          <w:lang w:val="en-US" w:eastAsia="zh-CN"/>
        </w:rPr>
        <w:t>《中华人民共和国水污染防治法》</w:t>
      </w:r>
      <w:r>
        <w:rPr>
          <w:rFonts w:hint="eastAsia" w:cs="Times New Roman"/>
          <w:color w:val="auto"/>
          <w:lang w:val="en-US" w:eastAsia="zh-CN"/>
        </w:rPr>
        <w:t>（2017.06.27修正）</w:t>
      </w:r>
    </w:p>
    <w:p w14:paraId="12A0B8A8">
      <w:pPr>
        <w:bidi w:val="0"/>
        <w:rPr>
          <w:rFonts w:hint="default" w:cs="Times New Roman"/>
          <w:color w:val="auto"/>
          <w:lang w:val="en-US" w:eastAsia="zh-CN"/>
        </w:rPr>
      </w:pPr>
      <w:r>
        <w:rPr>
          <w:rFonts w:hint="default" w:cs="Times New Roman"/>
          <w:color w:val="auto"/>
          <w:lang w:val="en-US" w:eastAsia="zh-CN"/>
        </w:rPr>
        <w:t>《中华人民共和国循环经济促进法》（201</w:t>
      </w:r>
      <w:r>
        <w:rPr>
          <w:rFonts w:hint="eastAsia" w:cs="Times New Roman"/>
          <w:color w:val="auto"/>
          <w:lang w:val="en-US" w:eastAsia="zh-CN"/>
        </w:rPr>
        <w:t>8</w:t>
      </w:r>
      <w:r>
        <w:rPr>
          <w:rFonts w:hint="default" w:cs="Times New Roman"/>
          <w:color w:val="auto"/>
          <w:lang w:val="en-US" w:eastAsia="zh-CN"/>
        </w:rPr>
        <w:t>.</w:t>
      </w:r>
      <w:r>
        <w:rPr>
          <w:rFonts w:hint="eastAsia" w:cs="Times New Roman"/>
          <w:color w:val="auto"/>
          <w:lang w:val="en-US" w:eastAsia="zh-CN"/>
        </w:rPr>
        <w:t>10</w:t>
      </w:r>
      <w:r>
        <w:rPr>
          <w:rFonts w:hint="default" w:cs="Times New Roman"/>
          <w:color w:val="auto"/>
          <w:lang w:val="en-US" w:eastAsia="zh-CN"/>
        </w:rPr>
        <w:t>.2</w:t>
      </w:r>
      <w:r>
        <w:rPr>
          <w:rFonts w:hint="eastAsia" w:cs="Times New Roman"/>
          <w:color w:val="auto"/>
          <w:lang w:val="en-US" w:eastAsia="zh-CN"/>
        </w:rPr>
        <w:t>6</w:t>
      </w:r>
      <w:r>
        <w:rPr>
          <w:rFonts w:hint="default" w:cs="Times New Roman"/>
          <w:color w:val="auto"/>
          <w:lang w:val="en-US" w:eastAsia="zh-CN"/>
        </w:rPr>
        <w:t>修正）</w:t>
      </w:r>
    </w:p>
    <w:p w14:paraId="619DBFC6">
      <w:pPr>
        <w:bidi w:val="0"/>
        <w:rPr>
          <w:rFonts w:hint="default" w:cs="Times New Roman"/>
          <w:color w:val="auto"/>
          <w:lang w:val="en-US" w:eastAsia="zh-CN"/>
        </w:rPr>
      </w:pPr>
      <w:r>
        <w:rPr>
          <w:rFonts w:hint="default" w:cs="Times New Roman"/>
          <w:color w:val="auto"/>
          <w:lang w:val="en-US" w:eastAsia="zh-CN"/>
        </w:rPr>
        <w:t>《中华人民共和国突发事件应对法》（2007年11月1日）</w:t>
      </w:r>
    </w:p>
    <w:p w14:paraId="05789F10">
      <w:pPr>
        <w:bidi w:val="0"/>
        <w:rPr>
          <w:rFonts w:hint="default" w:ascii="Times New Roman" w:hAnsi="Times New Roman" w:cs="Times New Roman"/>
          <w:color w:val="auto"/>
        </w:rPr>
      </w:pPr>
      <w:r>
        <w:rPr>
          <w:rFonts w:hint="default" w:ascii="Times New Roman" w:hAnsi="Times New Roman" w:cs="Times New Roman"/>
          <w:color w:val="auto"/>
        </w:rPr>
        <w:t>《市政公用事业特许经营管理办法》</w:t>
      </w:r>
      <w:r>
        <w:rPr>
          <w:rFonts w:hint="eastAsia" w:cs="Times New Roman"/>
          <w:color w:val="auto"/>
          <w:lang w:eastAsia="zh-CN"/>
        </w:rPr>
        <w:t>（</w:t>
      </w:r>
      <w:r>
        <w:rPr>
          <w:rFonts w:hint="default" w:ascii="Times New Roman" w:hAnsi="Times New Roman" w:cs="Times New Roman"/>
          <w:color w:val="auto"/>
        </w:rPr>
        <w:t>建设部令第126号[2004]</w:t>
      </w:r>
      <w:r>
        <w:rPr>
          <w:rFonts w:hint="eastAsia" w:cs="Times New Roman"/>
          <w:color w:val="auto"/>
          <w:lang w:eastAsia="zh-CN"/>
        </w:rPr>
        <w:t>）</w:t>
      </w:r>
    </w:p>
    <w:p w14:paraId="0932FB5B">
      <w:pPr>
        <w:bidi w:val="0"/>
        <w:rPr>
          <w:rFonts w:hint="eastAsia" w:cs="Times New Roman"/>
          <w:color w:val="auto"/>
          <w:lang w:eastAsia="zh-CN"/>
        </w:rPr>
      </w:pPr>
      <w:r>
        <w:rPr>
          <w:rFonts w:hint="default" w:ascii="Times New Roman" w:hAnsi="Times New Roman" w:cs="Times New Roman"/>
          <w:color w:val="auto"/>
        </w:rPr>
        <w:t>《中国城乡环境卫生体系建设》</w:t>
      </w:r>
      <w:r>
        <w:rPr>
          <w:rFonts w:hint="eastAsia" w:cs="Times New Roman"/>
          <w:color w:val="auto"/>
          <w:lang w:eastAsia="zh-CN"/>
        </w:rPr>
        <w:t>（</w:t>
      </w:r>
      <w:r>
        <w:rPr>
          <w:rFonts w:hint="default" w:ascii="Times New Roman" w:hAnsi="Times New Roman" w:cs="Times New Roman"/>
          <w:color w:val="auto"/>
        </w:rPr>
        <w:t>建城</w:t>
      </w:r>
      <w:r>
        <w:rPr>
          <w:rFonts w:hint="eastAsia" w:cs="Times New Roman"/>
          <w:color w:val="auto"/>
          <w:lang w:eastAsia="zh-CN"/>
        </w:rPr>
        <w:t>〔2006〕13号）</w:t>
      </w:r>
    </w:p>
    <w:p w14:paraId="52C1ADB6">
      <w:pPr>
        <w:bidi w:val="0"/>
        <w:rPr>
          <w:rFonts w:hint="default" w:cs="Times New Roman"/>
          <w:color w:val="auto"/>
          <w:lang w:eastAsia="zh-CN"/>
        </w:rPr>
      </w:pPr>
      <w:r>
        <w:rPr>
          <w:rFonts w:hint="default" w:cs="Times New Roman"/>
          <w:color w:val="auto"/>
          <w:lang w:val="en-US" w:eastAsia="zh-CN"/>
        </w:rPr>
        <w:t>《城市市容和环境卫生管理条例》（201</w:t>
      </w:r>
      <w:r>
        <w:rPr>
          <w:rFonts w:hint="eastAsia" w:cs="Times New Roman"/>
          <w:color w:val="auto"/>
          <w:lang w:val="en-US" w:eastAsia="zh-CN"/>
        </w:rPr>
        <w:t>7</w:t>
      </w:r>
      <w:r>
        <w:rPr>
          <w:rFonts w:hint="default" w:cs="Times New Roman"/>
          <w:color w:val="auto"/>
          <w:lang w:val="en-US" w:eastAsia="zh-CN"/>
        </w:rPr>
        <w:t>.</w:t>
      </w:r>
      <w:r>
        <w:rPr>
          <w:rFonts w:hint="eastAsia" w:cs="Times New Roman"/>
          <w:color w:val="auto"/>
          <w:lang w:val="en-US" w:eastAsia="zh-CN"/>
        </w:rPr>
        <w:t>03</w:t>
      </w:r>
      <w:r>
        <w:rPr>
          <w:rFonts w:hint="default" w:cs="Times New Roman"/>
          <w:color w:val="auto"/>
          <w:lang w:val="en-US" w:eastAsia="zh-CN"/>
        </w:rPr>
        <w:t>.</w:t>
      </w:r>
      <w:r>
        <w:rPr>
          <w:rFonts w:hint="eastAsia" w:cs="Times New Roman"/>
          <w:color w:val="auto"/>
          <w:lang w:val="en-US" w:eastAsia="zh-CN"/>
        </w:rPr>
        <w:t>01</w:t>
      </w:r>
      <w:r>
        <w:rPr>
          <w:rFonts w:hint="default" w:cs="Times New Roman"/>
          <w:color w:val="auto"/>
          <w:lang w:val="en-US" w:eastAsia="zh-CN"/>
        </w:rPr>
        <w:t>修正）</w:t>
      </w:r>
    </w:p>
    <w:p w14:paraId="410B2FAA">
      <w:pPr>
        <w:bidi w:val="0"/>
        <w:rPr>
          <w:rFonts w:hint="default" w:cs="Times New Roman"/>
          <w:color w:val="auto"/>
          <w:lang w:eastAsia="zh-CN"/>
        </w:rPr>
      </w:pPr>
      <w:r>
        <w:rPr>
          <w:rFonts w:hint="default" w:cs="Times New Roman"/>
          <w:color w:val="auto"/>
          <w:lang w:eastAsia="zh-CN"/>
        </w:rPr>
        <w:t>《城市建筑垃圾管理规定》</w:t>
      </w:r>
      <w:r>
        <w:rPr>
          <w:rFonts w:hint="eastAsia" w:cs="Times New Roman"/>
          <w:color w:val="auto"/>
          <w:lang w:eastAsia="zh-CN"/>
        </w:rPr>
        <w:t>（</w:t>
      </w:r>
      <w:r>
        <w:rPr>
          <w:rFonts w:hint="eastAsia" w:cs="Times New Roman"/>
          <w:color w:val="auto"/>
          <w:lang w:val="en-US" w:eastAsia="zh-CN"/>
        </w:rPr>
        <w:t>2005.03.23</w:t>
      </w:r>
      <w:r>
        <w:rPr>
          <w:rFonts w:hint="eastAsia" w:cs="Times New Roman"/>
          <w:color w:val="auto"/>
          <w:lang w:eastAsia="zh-CN"/>
        </w:rPr>
        <w:t>）</w:t>
      </w:r>
    </w:p>
    <w:p w14:paraId="7A155964">
      <w:pPr>
        <w:bidi w:val="0"/>
        <w:rPr>
          <w:rFonts w:hint="eastAsia" w:cs="Times New Roman"/>
          <w:color w:val="auto"/>
          <w:lang w:eastAsia="zh-CN"/>
        </w:rPr>
      </w:pPr>
      <w:r>
        <w:rPr>
          <w:rFonts w:hint="default" w:ascii="Times New Roman" w:hAnsi="Times New Roman" w:cs="Times New Roman"/>
          <w:color w:val="auto"/>
        </w:rPr>
        <w:t>《突发公共卫生事件应急条例》</w:t>
      </w:r>
      <w:r>
        <w:rPr>
          <w:rFonts w:hint="eastAsia" w:cs="Times New Roman"/>
          <w:color w:val="auto"/>
          <w:lang w:eastAsia="zh-CN"/>
        </w:rPr>
        <w:t>（</w:t>
      </w:r>
      <w:r>
        <w:rPr>
          <w:rFonts w:hint="default" w:ascii="Times New Roman" w:hAnsi="Times New Roman" w:cs="Times New Roman"/>
          <w:color w:val="auto"/>
        </w:rPr>
        <w:t>国务院令第376号[2003]</w:t>
      </w:r>
      <w:r>
        <w:rPr>
          <w:rFonts w:hint="eastAsia" w:cs="Times New Roman"/>
          <w:color w:val="auto"/>
          <w:lang w:eastAsia="zh-CN"/>
        </w:rPr>
        <w:t>）</w:t>
      </w:r>
    </w:p>
    <w:p w14:paraId="575EE633">
      <w:pPr>
        <w:bidi w:val="0"/>
        <w:rPr>
          <w:rFonts w:hint="eastAsia" w:cs="Times New Roman"/>
          <w:color w:val="auto"/>
          <w:lang w:eastAsia="zh-CN"/>
        </w:rPr>
      </w:pPr>
      <w:r>
        <w:rPr>
          <w:rFonts w:hint="eastAsia" w:cs="Times New Roman"/>
          <w:color w:val="auto"/>
          <w:lang w:val="en-US" w:eastAsia="zh-CN"/>
        </w:rPr>
        <w:t>《中共中央国务院关于进一步加强城市规划建设管理工作的若干意见》（中发〔2016〕6号）</w:t>
      </w:r>
    </w:p>
    <w:p w14:paraId="2C1E81C5">
      <w:pPr>
        <w:bidi w:val="0"/>
        <w:rPr>
          <w:rFonts w:hint="default"/>
          <w:color w:val="auto"/>
        </w:rPr>
      </w:pPr>
      <w:r>
        <w:rPr>
          <w:rFonts w:hint="default"/>
          <w:color w:val="auto"/>
          <w:lang w:val="en-US" w:eastAsia="zh-CN"/>
        </w:rPr>
        <w:t>《国务院办公厅转发国家发展改革委等部门关于加快推进城镇环境基础设施建设指导意见的通知》（国办函〔2022〕7号）</w:t>
      </w:r>
    </w:p>
    <w:p w14:paraId="17CFDCE7">
      <w:pPr>
        <w:bidi w:val="0"/>
        <w:rPr>
          <w:rFonts w:hint="eastAsia"/>
          <w:color w:val="auto"/>
          <w:lang w:val="en-US" w:eastAsia="zh-CN"/>
        </w:rPr>
      </w:pPr>
      <w:r>
        <w:rPr>
          <w:rFonts w:hint="eastAsia"/>
          <w:color w:val="auto"/>
          <w:lang w:eastAsia="zh-CN"/>
        </w:rPr>
        <w:t>《国务院办公厅关于加快构建废弃物循环利用体系的意见》</w:t>
      </w:r>
      <w:r>
        <w:rPr>
          <w:rFonts w:hint="eastAsia"/>
          <w:color w:val="auto"/>
          <w:lang w:val="en-US" w:eastAsia="zh-CN"/>
        </w:rPr>
        <w:t>（</w:t>
      </w:r>
      <w:r>
        <w:rPr>
          <w:rFonts w:hint="eastAsia"/>
          <w:color w:val="auto"/>
          <w:lang w:eastAsia="zh-CN"/>
        </w:rPr>
        <w:t>国办发〔2024〕7号</w:t>
      </w:r>
      <w:r>
        <w:rPr>
          <w:rFonts w:hint="eastAsia"/>
          <w:color w:val="auto"/>
          <w:lang w:val="en-US" w:eastAsia="zh-CN"/>
        </w:rPr>
        <w:t>）</w:t>
      </w:r>
    </w:p>
    <w:p w14:paraId="0E933FC8">
      <w:pPr>
        <w:bidi w:val="0"/>
        <w:rPr>
          <w:rFonts w:hint="eastAsia"/>
          <w:color w:val="auto"/>
          <w:lang w:val="en-US" w:eastAsia="zh-CN"/>
        </w:rPr>
      </w:pPr>
      <w:r>
        <w:rPr>
          <w:rFonts w:hint="eastAsia"/>
          <w:color w:val="auto"/>
          <w:lang w:val="en-US" w:eastAsia="zh-CN"/>
        </w:rPr>
        <w:t>《住房和城乡建设部关于推进建筑垃圾减量化的指导意见》（建质〔2020〕46号）</w:t>
      </w:r>
    </w:p>
    <w:p w14:paraId="3E11BE0F">
      <w:pPr>
        <w:bidi w:val="0"/>
        <w:rPr>
          <w:rFonts w:hint="eastAsia"/>
          <w:color w:val="auto"/>
          <w:lang w:val="en-US" w:eastAsia="zh-CN"/>
        </w:rPr>
      </w:pPr>
      <w:r>
        <w:rPr>
          <w:rFonts w:hint="eastAsia"/>
          <w:color w:val="auto"/>
          <w:lang w:val="en-US" w:eastAsia="zh-CN"/>
        </w:rPr>
        <w:t>《关于“十四五”大宗固体废弃物综合利用的指导意见》（发改环资〔2021〕381号）</w:t>
      </w:r>
    </w:p>
    <w:p w14:paraId="576C0C45">
      <w:pPr>
        <w:bidi w:val="0"/>
        <w:rPr>
          <w:rFonts w:hint="eastAsia"/>
          <w:color w:val="auto"/>
          <w:lang w:val="en-US" w:eastAsia="zh-CN"/>
        </w:rPr>
      </w:pPr>
      <w:r>
        <w:rPr>
          <w:rFonts w:hint="eastAsia"/>
          <w:color w:val="auto"/>
          <w:lang w:val="en-US" w:eastAsia="zh-CN"/>
        </w:rPr>
        <w:t>《辽宁省“十四五”生态环境保护规划》（2022.01.20）</w:t>
      </w:r>
    </w:p>
    <w:p w14:paraId="62524670">
      <w:pPr>
        <w:pStyle w:val="23"/>
        <w:ind w:left="0" w:leftChars="0" w:firstLine="560" w:firstLineChars="200"/>
        <w:rPr>
          <w:rFonts w:hint="eastAsia"/>
          <w:color w:val="auto"/>
          <w:lang w:val="en-US" w:eastAsia="zh-CN"/>
        </w:rPr>
      </w:pPr>
      <w:r>
        <w:rPr>
          <w:rFonts w:hint="eastAsia"/>
          <w:color w:val="auto"/>
          <w:lang w:val="en-US" w:eastAsia="zh-CN"/>
        </w:rPr>
        <w:t>《辽宁省固体废物污染环境防治条例》（2024.9）</w:t>
      </w:r>
    </w:p>
    <w:p w14:paraId="07426194">
      <w:pPr>
        <w:bidi w:val="0"/>
        <w:rPr>
          <w:rFonts w:hint="eastAsia"/>
          <w:color w:val="auto"/>
          <w:lang w:val="en-US" w:eastAsia="zh-CN"/>
        </w:rPr>
      </w:pPr>
      <w:r>
        <w:rPr>
          <w:rFonts w:hint="eastAsia"/>
          <w:color w:val="auto"/>
          <w:lang w:val="en-US" w:eastAsia="zh-CN"/>
        </w:rPr>
        <w:t>《</w:t>
      </w:r>
      <w:r>
        <w:rPr>
          <w:rFonts w:hint="default"/>
          <w:color w:val="auto"/>
          <w:lang w:val="en-US" w:eastAsia="zh-CN"/>
        </w:rPr>
        <w:t>关于实行城市生活垃圾处理收费制度促进垃圾处理产业化的通知》</w:t>
      </w:r>
      <w:r>
        <w:rPr>
          <w:rFonts w:hint="eastAsia"/>
          <w:color w:val="auto"/>
          <w:lang w:val="en-US" w:eastAsia="zh-CN"/>
        </w:rPr>
        <w:t>（2022.6.7）</w:t>
      </w:r>
    </w:p>
    <w:p w14:paraId="4F159129">
      <w:pPr>
        <w:pStyle w:val="8"/>
        <w:rPr>
          <w:rFonts w:hint="default"/>
          <w:color w:val="auto"/>
          <w:lang w:val="en-US" w:eastAsia="zh-CN"/>
        </w:rPr>
      </w:pPr>
      <w:r>
        <w:rPr>
          <w:rFonts w:hint="eastAsia"/>
          <w:color w:val="auto"/>
          <w:lang w:val="en-US" w:eastAsia="zh-CN"/>
        </w:rPr>
        <w:t>《关于推进本溪市建筑垃圾管理工作的通知》</w:t>
      </w:r>
    </w:p>
    <w:p w14:paraId="0E00B2FC">
      <w:pPr>
        <w:pStyle w:val="4"/>
        <w:bidi w:val="0"/>
        <w:rPr>
          <w:rFonts w:hint="default" w:ascii="Times New Roman" w:hAnsi="Times New Roman" w:cs="Times New Roman"/>
          <w:color w:val="auto"/>
        </w:rPr>
      </w:pPr>
      <w:bookmarkStart w:id="18" w:name="_Toc308"/>
      <w:r>
        <w:rPr>
          <w:rFonts w:hint="default" w:ascii="Times New Roman" w:hAnsi="Times New Roman" w:cs="Times New Roman"/>
          <w:color w:val="auto"/>
        </w:rPr>
        <w:t>1.</w:t>
      </w:r>
      <w:r>
        <w:rPr>
          <w:rFonts w:hint="eastAsia" w:cs="Times New Roman"/>
          <w:color w:val="auto"/>
          <w:lang w:val="en-US" w:eastAsia="zh-CN"/>
        </w:rPr>
        <w:t>4</w:t>
      </w:r>
      <w:r>
        <w:rPr>
          <w:rFonts w:hint="default" w:ascii="Times New Roman" w:hAnsi="Times New Roman" w:cs="Times New Roman"/>
          <w:color w:val="auto"/>
        </w:rPr>
        <w:t>.2</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行业标准和技术规范</w:t>
      </w:r>
      <w:bookmarkEnd w:id="18"/>
    </w:p>
    <w:p w14:paraId="4FE746CA">
      <w:pPr>
        <w:bidi w:val="0"/>
        <w:rPr>
          <w:rFonts w:hint="default"/>
          <w:color w:val="auto"/>
          <w:lang w:val="en-US" w:eastAsia="zh-CN"/>
        </w:rPr>
      </w:pPr>
      <w:r>
        <w:rPr>
          <w:rFonts w:hint="default"/>
          <w:color w:val="auto"/>
          <w:lang w:val="en-US" w:eastAsia="zh-CN"/>
        </w:rPr>
        <w:t>《建筑垃圾处理技术标准》CJJ/T 134-2019</w:t>
      </w:r>
    </w:p>
    <w:p w14:paraId="6DA1632D">
      <w:pPr>
        <w:bidi w:val="0"/>
        <w:rPr>
          <w:rFonts w:hint="default"/>
          <w:color w:val="auto"/>
          <w:lang w:val="en-US" w:eastAsia="zh-CN"/>
        </w:rPr>
      </w:pPr>
      <w:r>
        <w:rPr>
          <w:rFonts w:hint="default"/>
          <w:color w:val="auto"/>
          <w:lang w:val="en-US" w:eastAsia="zh-CN"/>
        </w:rPr>
        <w:t>《城市环境卫生设施规划标准》GB/T 50337-2018</w:t>
      </w:r>
    </w:p>
    <w:p w14:paraId="3282FF38">
      <w:pPr>
        <w:bidi w:val="0"/>
        <w:rPr>
          <w:rFonts w:hint="default"/>
          <w:color w:val="auto"/>
          <w:lang w:val="en-US" w:eastAsia="zh-CN"/>
        </w:rPr>
      </w:pPr>
      <w:r>
        <w:rPr>
          <w:rFonts w:hint="default"/>
          <w:color w:val="auto"/>
          <w:lang w:val="en-US" w:eastAsia="zh-CN"/>
        </w:rPr>
        <w:t>《建筑垃圾处理技术导则》RISN-TG048-2023</w:t>
      </w:r>
    </w:p>
    <w:p w14:paraId="4229DD03">
      <w:pPr>
        <w:bidi w:val="0"/>
        <w:rPr>
          <w:rFonts w:hint="default"/>
          <w:color w:val="auto"/>
          <w:lang w:val="en-US" w:eastAsia="zh-CN"/>
        </w:rPr>
      </w:pPr>
      <w:r>
        <w:rPr>
          <w:rFonts w:hint="default"/>
          <w:color w:val="auto"/>
          <w:lang w:val="en-US" w:eastAsia="zh-CN"/>
        </w:rPr>
        <w:t>《</w:t>
      </w:r>
      <w:bookmarkStart w:id="19" w:name="OLE_LINK2"/>
      <w:r>
        <w:rPr>
          <w:rFonts w:hint="default"/>
          <w:color w:val="auto"/>
          <w:lang w:val="en-US" w:eastAsia="zh-CN"/>
        </w:rPr>
        <w:t>辽宁省建筑垃圾污染环境防治工作规划编制导则</w:t>
      </w:r>
      <w:bookmarkEnd w:id="19"/>
      <w:r>
        <w:rPr>
          <w:rFonts w:hint="default"/>
          <w:color w:val="auto"/>
          <w:lang w:val="en-US" w:eastAsia="zh-CN"/>
        </w:rPr>
        <w:t>》</w:t>
      </w:r>
    </w:p>
    <w:p w14:paraId="64C61A1B">
      <w:pPr>
        <w:bidi w:val="0"/>
        <w:rPr>
          <w:rFonts w:hint="default"/>
          <w:color w:val="auto"/>
          <w:lang w:val="en-US" w:eastAsia="zh-CN"/>
        </w:rPr>
      </w:pPr>
      <w:r>
        <w:rPr>
          <w:rFonts w:hint="default"/>
          <w:color w:val="auto"/>
          <w:lang w:val="en-US" w:eastAsia="zh-CN"/>
        </w:rPr>
        <w:t>《生活垃圾处理处置工程项目规范》GB55012-2021</w:t>
      </w:r>
    </w:p>
    <w:p w14:paraId="2D3AAEF6">
      <w:pPr>
        <w:bidi w:val="0"/>
        <w:rPr>
          <w:rFonts w:hint="default"/>
          <w:color w:val="auto"/>
          <w:lang w:val="en-US" w:eastAsia="zh-CN"/>
        </w:rPr>
      </w:pPr>
      <w:r>
        <w:rPr>
          <w:rFonts w:hint="default"/>
          <w:color w:val="auto"/>
          <w:lang w:val="en-US" w:eastAsia="zh-CN"/>
        </w:rPr>
        <w:t>《建筑垃圾处理专项规划导则》T/CECS 1320-2023</w:t>
      </w:r>
    </w:p>
    <w:p w14:paraId="05A074E3">
      <w:pPr>
        <w:bidi w:val="0"/>
        <w:rPr>
          <w:rFonts w:hint="default" w:ascii="Times New Roman" w:hAnsi="Times New Roman" w:cs="Times New Roman"/>
          <w:color w:val="auto"/>
          <w:lang w:val="en-US" w:eastAsia="zh-CN"/>
        </w:rPr>
      </w:pPr>
      <w:r>
        <w:rPr>
          <w:rFonts w:hint="default"/>
          <w:color w:val="auto"/>
          <w:lang w:val="en-US" w:eastAsia="zh-CN"/>
        </w:rPr>
        <w:t>《建筑废弃物再生工厂设计标准》（GB51322-2018）</w:t>
      </w:r>
    </w:p>
    <w:p w14:paraId="1E4FF9F4">
      <w:pPr>
        <w:bidi w:val="0"/>
        <w:ind w:firstLine="840" w:firstLineChars="3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其他相关</w:t>
      </w:r>
      <w:r>
        <w:rPr>
          <w:rFonts w:hint="eastAsia" w:cs="Times New Roman"/>
          <w:color w:val="auto"/>
          <w:lang w:val="en-US" w:eastAsia="zh-CN"/>
        </w:rPr>
        <w:t>规范及标准</w:t>
      </w:r>
    </w:p>
    <w:p w14:paraId="50845C30">
      <w:pPr>
        <w:pStyle w:val="4"/>
        <w:bidi w:val="0"/>
        <w:rPr>
          <w:rFonts w:hint="default" w:ascii="Times New Roman" w:hAnsi="Times New Roman" w:cs="Times New Roman"/>
          <w:color w:val="auto"/>
          <w:lang w:val="en-US" w:eastAsia="zh-CN"/>
        </w:rPr>
      </w:pPr>
      <w:bookmarkStart w:id="20" w:name="_Toc11227"/>
      <w:r>
        <w:rPr>
          <w:rFonts w:hint="default" w:ascii="Times New Roman" w:hAnsi="Times New Roman" w:cs="Times New Roman"/>
          <w:color w:val="auto"/>
          <w:lang w:val="en-US" w:eastAsia="zh-CN"/>
        </w:rPr>
        <w:t>1.</w:t>
      </w:r>
      <w:r>
        <w:rPr>
          <w:rFonts w:hint="eastAsia" w:cs="Times New Roman"/>
          <w:color w:val="auto"/>
          <w:lang w:val="en-US" w:eastAsia="zh-CN"/>
        </w:rPr>
        <w:t>4</w:t>
      </w:r>
      <w:r>
        <w:rPr>
          <w:rFonts w:hint="default" w:ascii="Times New Roman" w:hAnsi="Times New Roman" w:cs="Times New Roman"/>
          <w:color w:val="auto"/>
          <w:lang w:val="en-US" w:eastAsia="zh-CN"/>
        </w:rPr>
        <w:t>.3 相关规划</w:t>
      </w:r>
      <w:bookmarkEnd w:id="20"/>
    </w:p>
    <w:p w14:paraId="216DAE75">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《中华人民共和国国民经济和社会发展第十四个五年规划和2035年远景目标纲要》</w:t>
      </w:r>
      <w:r>
        <w:rPr>
          <w:rFonts w:hint="eastAsia" w:cs="Times New Roman"/>
          <w:color w:val="auto"/>
          <w:lang w:val="en-US" w:eastAsia="zh-CN"/>
        </w:rPr>
        <w:t>（</w:t>
      </w:r>
      <w:r>
        <w:rPr>
          <w:rFonts w:hint="default" w:ascii="Times New Roman" w:hAnsi="Times New Roman" w:cs="Times New Roman"/>
          <w:color w:val="auto"/>
          <w:lang w:val="en-US" w:eastAsia="zh-CN"/>
        </w:rPr>
        <w:t>2021</w:t>
      </w:r>
      <w:r>
        <w:rPr>
          <w:rFonts w:hint="eastAsia" w:cs="Times New Roman"/>
          <w:color w:val="auto"/>
          <w:lang w:val="en-US" w:eastAsia="zh-CN"/>
        </w:rPr>
        <w:t>.3.13）</w:t>
      </w:r>
    </w:p>
    <w:p w14:paraId="234F5CFD">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本溪市国土空间总体规划（2021—2035年）</w:t>
      </w:r>
      <w:r>
        <w:rPr>
          <w:rFonts w:hint="default" w:ascii="Times New Roman" w:hAnsi="Times New Roman" w:cs="Times New Roman"/>
          <w:color w:val="auto"/>
          <w:highlight w:val="none"/>
          <w:lang w:val="en-US" w:eastAsia="zh-CN"/>
        </w:rPr>
        <w:t>》</w:t>
      </w:r>
    </w:p>
    <w:p w14:paraId="03645D3F">
      <w:pPr>
        <w:pStyle w:val="3"/>
        <w:bidi w:val="0"/>
        <w:rPr>
          <w:rFonts w:hint="default"/>
          <w:color w:val="auto"/>
          <w:lang w:val="en-US" w:eastAsia="zh-CN"/>
        </w:rPr>
      </w:pPr>
      <w:bookmarkStart w:id="21" w:name="_Toc16408"/>
      <w:r>
        <w:rPr>
          <w:rFonts w:hint="default"/>
          <w:color w:val="auto"/>
          <w:lang w:val="en-US" w:eastAsia="zh-CN"/>
        </w:rPr>
        <w:t>1.</w:t>
      </w:r>
      <w:r>
        <w:rPr>
          <w:rFonts w:hint="eastAsia"/>
          <w:color w:val="auto"/>
          <w:lang w:val="en-US" w:eastAsia="zh-CN"/>
        </w:rPr>
        <w:t>5</w:t>
      </w:r>
      <w:r>
        <w:rPr>
          <w:rFonts w:hint="default"/>
          <w:color w:val="auto"/>
          <w:lang w:val="en-US" w:eastAsia="zh-CN"/>
        </w:rPr>
        <w:t xml:space="preserve"> 规划范围</w:t>
      </w:r>
      <w:bookmarkEnd w:id="21"/>
    </w:p>
    <w:p w14:paraId="3AD676B3">
      <w:pPr>
        <w:bidi w:val="0"/>
        <w:ind w:firstLine="1244"/>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本规划范围为本溪市市区，包括明山区、溪湖区、平山区3个中心城区及南芬区和高新区。覆盖面积1526平方千米，覆盖人口82.94万人。</w:t>
      </w:r>
    </w:p>
    <w:p w14:paraId="465B21E7">
      <w:pPr>
        <w:pStyle w:val="3"/>
        <w:bidi w:val="0"/>
        <w:rPr>
          <w:rFonts w:hint="default"/>
          <w:color w:val="auto"/>
          <w:lang w:val="en-US" w:eastAsia="zh-CN"/>
        </w:rPr>
      </w:pPr>
      <w:bookmarkStart w:id="22" w:name="_Toc25851"/>
      <w:r>
        <w:rPr>
          <w:rFonts w:hint="eastAsia"/>
          <w:color w:val="auto"/>
          <w:lang w:val="en-US" w:eastAsia="zh-CN"/>
        </w:rPr>
        <w:t>1.6 规划对象</w:t>
      </w:r>
      <w:bookmarkEnd w:id="22"/>
    </w:p>
    <w:p w14:paraId="4B02AEF2">
      <w:pPr>
        <w:bidi w:val="0"/>
        <w:ind w:firstLine="1244"/>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规划中建筑垃圾是指工程渣土、工程泥浆、工程垃圾、拆除垃圾和装修垃圾等的总称。包括新建、扩建、改建和拆除各类建筑物、构筑物、管网等以及居民装饰装修房屋过程中所产生的弃土、弃料及其他废弃物，不包括经检验、鉴定为危险废物的建筑垃圾。</w:t>
      </w:r>
    </w:p>
    <w:p w14:paraId="4DEA0206">
      <w:pPr>
        <w:bidi w:val="0"/>
        <w:ind w:firstLine="1244"/>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工程渣土。</w:t>
      </w:r>
      <w:r>
        <w:rPr>
          <w:rFonts w:hint="default" w:ascii="Times New Roman" w:hAnsi="Times New Roman" w:cs="Times New Roman"/>
          <w:color w:val="auto"/>
          <w:highlight w:val="none"/>
          <w:lang w:val="en-US" w:eastAsia="zh-CN"/>
        </w:rPr>
        <w:t>各类建筑物、构筑物、管网、道桥等在建设过程中开挖土石方产生的弃土。</w:t>
      </w:r>
    </w:p>
    <w:p w14:paraId="5227909C">
      <w:pPr>
        <w:bidi w:val="0"/>
        <w:ind w:firstLine="1244"/>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工程泥浆。</w:t>
      </w:r>
      <w:r>
        <w:rPr>
          <w:rFonts w:hint="default" w:ascii="Times New Roman" w:hAnsi="Times New Roman" w:cs="Times New Roman"/>
          <w:color w:val="auto"/>
          <w:highlight w:val="none"/>
          <w:lang w:val="en-US" w:eastAsia="zh-CN"/>
        </w:rPr>
        <w:t>钻孔桩基施工、地下连续墙施工、泥水盾构施工、水平定向钻及泥水顶管等施工产生的泥浆。</w:t>
      </w:r>
    </w:p>
    <w:p w14:paraId="4F9CC13C">
      <w:pPr>
        <w:bidi w:val="0"/>
        <w:ind w:firstLine="1244"/>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工程垃圾。</w:t>
      </w:r>
      <w:r>
        <w:rPr>
          <w:rFonts w:hint="default" w:ascii="Times New Roman" w:hAnsi="Times New Roman" w:cs="Times New Roman"/>
          <w:color w:val="auto"/>
          <w:highlight w:val="none"/>
          <w:lang w:val="en-US" w:eastAsia="zh-CN"/>
        </w:rPr>
        <w:t>各类建筑物、构筑物、管网、道桥等在新建改建、扩建过程中产生的混凝土、沥青混合料、砂浆、模板等弃料。</w:t>
      </w:r>
    </w:p>
    <w:p w14:paraId="4A4B99EC">
      <w:pPr>
        <w:bidi w:val="0"/>
        <w:ind w:firstLine="1244"/>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拆除垃圾。</w:t>
      </w:r>
      <w:r>
        <w:rPr>
          <w:rFonts w:hint="default" w:ascii="Times New Roman" w:hAnsi="Times New Roman" w:cs="Times New Roman"/>
          <w:color w:val="auto"/>
          <w:highlight w:val="none"/>
          <w:lang w:val="en-US" w:eastAsia="zh-CN"/>
        </w:rPr>
        <w:t>各类建筑物、构筑物、管网、道桥等在拆除过程中产生的混凝土、砂浆、砖瓦、陶瓷、石材、金属、木材等废弃物。</w:t>
      </w:r>
    </w:p>
    <w:p w14:paraId="405D43C8">
      <w:pPr>
        <w:bidi w:val="0"/>
        <w:ind w:firstLine="1244"/>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装修垃圾。</w:t>
      </w:r>
      <w:r>
        <w:rPr>
          <w:rFonts w:hint="default" w:ascii="Times New Roman" w:hAnsi="Times New Roman" w:cs="Times New Roman"/>
          <w:color w:val="auto"/>
          <w:highlight w:val="none"/>
          <w:lang w:val="en-US" w:eastAsia="zh-CN"/>
        </w:rPr>
        <w:t>房屋装饰装修过程中产生的混凝土、砂浆、砖瓦、陶瓷、石材、石膏、加气混凝土砌块、金属、木材玻璃和塑料等废弃物</w:t>
      </w:r>
      <w:r>
        <w:rPr>
          <w:rFonts w:hint="eastAsia" w:cs="Times New Roman"/>
          <w:color w:val="auto"/>
          <w:highlight w:val="none"/>
          <w:lang w:val="en-US" w:eastAsia="zh-CN"/>
        </w:rPr>
        <w:t>。</w:t>
      </w:r>
    </w:p>
    <w:p w14:paraId="394F8893">
      <w:pPr>
        <w:pStyle w:val="3"/>
        <w:bidi w:val="0"/>
        <w:rPr>
          <w:rFonts w:hint="default"/>
          <w:color w:val="auto"/>
          <w:lang w:val="en-US" w:eastAsia="zh-CN"/>
        </w:rPr>
      </w:pPr>
      <w:bookmarkStart w:id="23" w:name="_Toc14065"/>
      <w:r>
        <w:rPr>
          <w:rFonts w:hint="default"/>
          <w:color w:val="auto"/>
          <w:lang w:val="en-US" w:eastAsia="zh-CN"/>
        </w:rPr>
        <w:t>1.</w:t>
      </w:r>
      <w:r>
        <w:rPr>
          <w:rFonts w:hint="eastAsia"/>
          <w:color w:val="auto"/>
          <w:lang w:val="en-US" w:eastAsia="zh-CN"/>
        </w:rPr>
        <w:t>7</w:t>
      </w:r>
      <w:r>
        <w:rPr>
          <w:rFonts w:hint="default"/>
          <w:color w:val="auto"/>
          <w:lang w:val="en-US" w:eastAsia="zh-CN"/>
        </w:rPr>
        <w:t xml:space="preserve"> 规划期限</w:t>
      </w:r>
      <w:bookmarkEnd w:id="23"/>
    </w:p>
    <w:p w14:paraId="2B1693C9">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本次规划期限为2024</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2035年，以202</w:t>
      </w:r>
      <w:r>
        <w:rPr>
          <w:rFonts w:hint="eastAsia" w:cs="Times New Roman"/>
          <w:color w:val="auto"/>
          <w:highlight w:val="none"/>
          <w:lang w:val="en-US" w:eastAsia="zh-CN"/>
        </w:rPr>
        <w:t>3</w:t>
      </w:r>
      <w:r>
        <w:rPr>
          <w:rFonts w:hint="default" w:ascii="Times New Roman" w:hAnsi="Times New Roman" w:cs="Times New Roman"/>
          <w:color w:val="auto"/>
          <w:highlight w:val="none"/>
          <w:lang w:val="en-US" w:eastAsia="zh-CN"/>
        </w:rPr>
        <w:t>年为规划基准年。</w:t>
      </w:r>
    </w:p>
    <w:p w14:paraId="2E245F97">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近期</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2024</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2030年</w:t>
      </w:r>
    </w:p>
    <w:p w14:paraId="0E1D2875">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远期</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2031</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2035年</w:t>
      </w:r>
    </w:p>
    <w:p w14:paraId="04555CEA">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br w:type="page"/>
      </w:r>
    </w:p>
    <w:p w14:paraId="3EA3B595">
      <w:pPr>
        <w:pStyle w:val="23"/>
        <w:rPr>
          <w:rFonts w:hint="default"/>
          <w:color w:val="auto"/>
          <w:lang w:val="en-US" w:eastAsia="zh-CN"/>
        </w:rPr>
      </w:pPr>
    </w:p>
    <w:p w14:paraId="732EB6D1">
      <w:pPr>
        <w:pStyle w:val="2"/>
        <w:bidi w:val="0"/>
        <w:jc w:val="center"/>
        <w:rPr>
          <w:rFonts w:hint="eastAsia" w:ascii="Times New Roman" w:hAnsi="Times New Roman" w:cs="Times New Roman"/>
          <w:color w:val="auto"/>
          <w:lang w:val="en-US" w:eastAsia="zh-CN"/>
        </w:rPr>
      </w:pPr>
      <w:bookmarkStart w:id="24" w:name="_Toc3807"/>
      <w:r>
        <w:rPr>
          <w:rFonts w:hint="eastAsia" w:ascii="Times New Roman" w:hAnsi="Times New Roman" w:cs="Times New Roman"/>
          <w:color w:val="auto"/>
          <w:lang w:val="en-US" w:eastAsia="zh-CN"/>
        </w:rPr>
        <w:t>第二章 现状分析和规划解读</w:t>
      </w:r>
      <w:bookmarkEnd w:id="24"/>
    </w:p>
    <w:p w14:paraId="7A96893A">
      <w:pPr>
        <w:pStyle w:val="3"/>
        <w:bidi w:val="0"/>
        <w:rPr>
          <w:rFonts w:hint="eastAsia"/>
          <w:color w:val="auto"/>
          <w:lang w:val="en-US" w:eastAsia="zh-CN"/>
        </w:rPr>
      </w:pPr>
      <w:bookmarkStart w:id="25" w:name="_Toc11926"/>
      <w:r>
        <w:rPr>
          <w:rFonts w:hint="eastAsia"/>
          <w:color w:val="auto"/>
          <w:lang w:val="en-US" w:eastAsia="zh-CN"/>
        </w:rPr>
        <w:t>2.1 建筑垃圾治理现状分析</w:t>
      </w:r>
      <w:bookmarkEnd w:id="25"/>
    </w:p>
    <w:p w14:paraId="22B7017C">
      <w:pPr>
        <w:pStyle w:val="4"/>
        <w:bidi w:val="0"/>
        <w:rPr>
          <w:rFonts w:hint="eastAsia"/>
          <w:color w:val="auto"/>
          <w:lang w:val="en-US" w:eastAsia="zh-CN"/>
        </w:rPr>
      </w:pPr>
      <w:bookmarkStart w:id="26" w:name="_Toc26139"/>
      <w:r>
        <w:rPr>
          <w:rFonts w:hint="eastAsia"/>
          <w:color w:val="auto"/>
          <w:lang w:val="en-US" w:eastAsia="zh-CN"/>
        </w:rPr>
        <w:t>2.1.1 基础条件</w:t>
      </w:r>
      <w:bookmarkEnd w:id="26"/>
    </w:p>
    <w:p w14:paraId="5A496DC3">
      <w:pPr>
        <w:bidi w:val="0"/>
        <w:rPr>
          <w:rFonts w:hint="eastAsia"/>
          <w:color w:val="auto"/>
          <w:lang w:val="en-US" w:eastAsia="zh-CN"/>
        </w:rPr>
      </w:pPr>
      <w:r>
        <w:rPr>
          <w:rFonts w:hint="eastAsia"/>
          <w:color w:val="auto"/>
          <w:lang w:val="en-US" w:eastAsia="zh-CN"/>
        </w:rPr>
        <w:t>（一）区域发展历程概述</w:t>
      </w:r>
    </w:p>
    <w:p w14:paraId="3C8566EF">
      <w:pPr>
        <w:bidi w:val="0"/>
        <w:rPr>
          <w:rFonts w:hint="default"/>
          <w:color w:val="auto"/>
          <w:lang w:val="en-US" w:eastAsia="zh-CN"/>
        </w:rPr>
      </w:pPr>
      <w:r>
        <w:rPr>
          <w:rFonts w:hint="default"/>
          <w:color w:val="auto"/>
          <w:lang w:val="en-US" w:eastAsia="zh-CN"/>
        </w:rPr>
        <w:t>据《史记·匈奴列传》载，战国时期。</w:t>
      </w:r>
      <w:r>
        <w:rPr>
          <w:rFonts w:hint="eastAsia"/>
          <w:color w:val="auto"/>
          <w:lang w:val="en-US" w:eastAsia="zh-CN"/>
        </w:rPr>
        <w:t>“</w:t>
      </w:r>
      <w:r>
        <w:rPr>
          <w:rFonts w:hint="default"/>
          <w:color w:val="auto"/>
          <w:lang w:val="en-US" w:eastAsia="zh-CN"/>
        </w:rPr>
        <w:t>燕亦筑长城，自造阳至襄平。置上谷、渔阳、右北平、辽西、辽东郡以拒胡</w:t>
      </w:r>
      <w:r>
        <w:rPr>
          <w:rFonts w:hint="eastAsia"/>
          <w:color w:val="auto"/>
          <w:lang w:val="en-US" w:eastAsia="zh-CN"/>
        </w:rPr>
        <w:t>”</w:t>
      </w:r>
      <w:r>
        <w:rPr>
          <w:rFonts w:hint="default"/>
          <w:color w:val="auto"/>
          <w:lang w:val="en-US" w:eastAsia="zh-CN"/>
        </w:rPr>
        <w:t>。本溪市区、本溪县</w:t>
      </w:r>
      <w:r>
        <w:rPr>
          <w:rFonts w:hint="eastAsia"/>
          <w:color w:val="auto"/>
          <w:lang w:val="en-US" w:eastAsia="zh-CN"/>
        </w:rPr>
        <w:t>（</w:t>
      </w:r>
      <w:r>
        <w:rPr>
          <w:rFonts w:hint="default"/>
          <w:color w:val="auto"/>
          <w:lang w:val="en-US" w:eastAsia="zh-CN"/>
        </w:rPr>
        <w:t>指今所辖境域，下同）为燕国辽东郡襄平境内，桓仁县（指今所辖境域，下同）属燕国辽东郡外徼，为高夷部族辖地。</w:t>
      </w:r>
    </w:p>
    <w:p w14:paraId="0BC625A3">
      <w:pPr>
        <w:bidi w:val="0"/>
        <w:rPr>
          <w:rFonts w:hint="default"/>
          <w:color w:val="auto"/>
          <w:lang w:val="en-US" w:eastAsia="zh-CN"/>
        </w:rPr>
      </w:pPr>
      <w:r>
        <w:rPr>
          <w:rFonts w:hint="default"/>
          <w:color w:val="auto"/>
          <w:lang w:val="en-US" w:eastAsia="zh-CN"/>
        </w:rPr>
        <w:t>汉代，本溪市区、本溪县属幽州辽东郡襄平县。汉武帝元封三年</w:t>
      </w:r>
      <w:r>
        <w:rPr>
          <w:rFonts w:hint="eastAsia"/>
          <w:color w:val="auto"/>
          <w:lang w:val="en-US" w:eastAsia="zh-CN"/>
        </w:rPr>
        <w:t>（</w:t>
      </w:r>
      <w:r>
        <w:rPr>
          <w:rFonts w:hint="default"/>
          <w:color w:val="auto"/>
          <w:lang w:val="en-US" w:eastAsia="zh-CN"/>
        </w:rPr>
        <w:t>前108年</w:t>
      </w:r>
      <w:r>
        <w:rPr>
          <w:rFonts w:hint="eastAsia"/>
          <w:color w:val="auto"/>
          <w:lang w:val="en-US" w:eastAsia="zh-CN"/>
        </w:rPr>
        <w:t>）</w:t>
      </w:r>
      <w:r>
        <w:rPr>
          <w:rFonts w:hint="default"/>
          <w:color w:val="auto"/>
          <w:lang w:val="en-US" w:eastAsia="zh-CN"/>
        </w:rPr>
        <w:t>，灭卫氏朝鲜，增设乐浪、玄菟、真番、临屯4郡，桓仁县属玄菟郡。汉元帝建昭二年</w:t>
      </w:r>
      <w:r>
        <w:rPr>
          <w:rFonts w:hint="eastAsia"/>
          <w:color w:val="auto"/>
          <w:lang w:val="en-US" w:eastAsia="zh-CN"/>
        </w:rPr>
        <w:t>（</w:t>
      </w:r>
      <w:r>
        <w:rPr>
          <w:rFonts w:hint="default"/>
          <w:color w:val="auto"/>
          <w:lang w:val="en-US" w:eastAsia="zh-CN"/>
        </w:rPr>
        <w:t>前37年</w:t>
      </w:r>
      <w:r>
        <w:rPr>
          <w:rFonts w:hint="eastAsia"/>
          <w:color w:val="auto"/>
          <w:lang w:val="en-US" w:eastAsia="zh-CN"/>
        </w:rPr>
        <w:t>）</w:t>
      </w:r>
      <w:r>
        <w:rPr>
          <w:rFonts w:hint="default"/>
          <w:color w:val="auto"/>
          <w:lang w:val="en-US" w:eastAsia="zh-CN"/>
        </w:rPr>
        <w:t>，扶余王子朱蒙避难逃亡至纥升骨城</w:t>
      </w:r>
      <w:r>
        <w:rPr>
          <w:rFonts w:hint="eastAsia"/>
          <w:color w:val="auto"/>
          <w:lang w:val="en-US" w:eastAsia="zh-CN"/>
        </w:rPr>
        <w:t>（</w:t>
      </w:r>
      <w:r>
        <w:rPr>
          <w:rFonts w:hint="default"/>
          <w:color w:val="auto"/>
          <w:lang w:val="en-US" w:eastAsia="zh-CN"/>
        </w:rPr>
        <w:t>即今桓仁县五女山，有旧城遗址</w:t>
      </w:r>
      <w:r>
        <w:rPr>
          <w:rFonts w:hint="eastAsia"/>
          <w:color w:val="auto"/>
          <w:lang w:val="en-US" w:eastAsia="zh-CN"/>
        </w:rPr>
        <w:t>）</w:t>
      </w:r>
      <w:r>
        <w:rPr>
          <w:rFonts w:hint="default"/>
          <w:color w:val="auto"/>
          <w:lang w:val="en-US" w:eastAsia="zh-CN"/>
        </w:rPr>
        <w:t>，建国立都号称高句丽，为中国少数民族政权：汉平帝元始三年</w:t>
      </w:r>
      <w:r>
        <w:rPr>
          <w:rFonts w:hint="eastAsia"/>
          <w:color w:val="auto"/>
          <w:lang w:val="en-US" w:eastAsia="zh-CN"/>
        </w:rPr>
        <w:t>（</w:t>
      </w:r>
      <w:r>
        <w:rPr>
          <w:rFonts w:hint="default"/>
          <w:color w:val="auto"/>
          <w:lang w:val="en-US" w:eastAsia="zh-CN"/>
        </w:rPr>
        <w:t>3年</w:t>
      </w:r>
      <w:r>
        <w:rPr>
          <w:rFonts w:hint="eastAsia"/>
          <w:color w:val="auto"/>
          <w:lang w:val="en-US" w:eastAsia="zh-CN"/>
        </w:rPr>
        <w:t>）</w:t>
      </w:r>
      <w:r>
        <w:rPr>
          <w:rFonts w:hint="default"/>
          <w:color w:val="auto"/>
          <w:lang w:val="en-US" w:eastAsia="zh-CN"/>
        </w:rPr>
        <w:t>，移都国内城</w:t>
      </w:r>
      <w:r>
        <w:rPr>
          <w:rFonts w:hint="eastAsia"/>
          <w:color w:val="auto"/>
          <w:lang w:val="en-US" w:eastAsia="zh-CN"/>
        </w:rPr>
        <w:t>（</w:t>
      </w:r>
      <w:r>
        <w:rPr>
          <w:rFonts w:hint="default"/>
          <w:color w:val="auto"/>
          <w:lang w:val="en-US" w:eastAsia="zh-CN"/>
        </w:rPr>
        <w:t>今吉林省集安县</w:t>
      </w:r>
      <w:r>
        <w:rPr>
          <w:rFonts w:hint="eastAsia"/>
          <w:color w:val="auto"/>
          <w:lang w:val="en-US" w:eastAsia="zh-CN"/>
        </w:rPr>
        <w:t>）</w:t>
      </w:r>
      <w:r>
        <w:rPr>
          <w:rFonts w:hint="default"/>
          <w:color w:val="auto"/>
          <w:lang w:val="en-US" w:eastAsia="zh-CN"/>
        </w:rPr>
        <w:t>，纥绝升骨城作为高句丽都城长达40年。之后，仁地域一直为高句丽部族政权辖地，直至唐代。</w:t>
      </w:r>
    </w:p>
    <w:p w14:paraId="3F2DD2BE">
      <w:pPr>
        <w:bidi w:val="0"/>
        <w:rPr>
          <w:rFonts w:hint="default"/>
          <w:color w:val="auto"/>
          <w:lang w:val="en-US" w:eastAsia="zh-CN"/>
        </w:rPr>
      </w:pPr>
      <w:r>
        <w:rPr>
          <w:rFonts w:hint="default"/>
          <w:color w:val="auto"/>
          <w:lang w:val="en-US" w:eastAsia="zh-CN"/>
        </w:rPr>
        <w:t>三国时期，本溪市区、本溪县属幽州辽东郡襄平县。</w:t>
      </w:r>
    </w:p>
    <w:p w14:paraId="0B9A902E">
      <w:pPr>
        <w:bidi w:val="0"/>
        <w:rPr>
          <w:rFonts w:hint="default"/>
          <w:color w:val="auto"/>
          <w:lang w:val="en-US" w:eastAsia="zh-CN"/>
        </w:rPr>
      </w:pPr>
      <w:r>
        <w:rPr>
          <w:rFonts w:hint="default"/>
          <w:color w:val="auto"/>
          <w:lang w:val="en-US" w:eastAsia="zh-CN"/>
        </w:rPr>
        <w:t>西晋时期，本溪市区、本溪县属平州辽东郡</w:t>
      </w:r>
      <w:r>
        <w:rPr>
          <w:rFonts w:hint="eastAsia"/>
          <w:color w:val="auto"/>
          <w:lang w:val="en-US" w:eastAsia="zh-CN"/>
        </w:rPr>
        <w:t>（</w:t>
      </w:r>
      <w:r>
        <w:rPr>
          <w:rFonts w:hint="default"/>
          <w:color w:val="auto"/>
          <w:lang w:val="en-US" w:eastAsia="zh-CN"/>
        </w:rPr>
        <w:t>国</w:t>
      </w:r>
      <w:r>
        <w:rPr>
          <w:rFonts w:hint="eastAsia"/>
          <w:color w:val="auto"/>
          <w:lang w:val="en-US" w:eastAsia="zh-CN"/>
        </w:rPr>
        <w:t>）</w:t>
      </w:r>
      <w:r>
        <w:rPr>
          <w:rFonts w:hint="default"/>
          <w:color w:val="auto"/>
          <w:lang w:val="en-US" w:eastAsia="zh-CN"/>
        </w:rPr>
        <w:t>襄平县。</w:t>
      </w:r>
    </w:p>
    <w:p w14:paraId="369F9500">
      <w:pPr>
        <w:bidi w:val="0"/>
        <w:rPr>
          <w:rFonts w:hint="default"/>
          <w:color w:val="auto"/>
          <w:lang w:val="en-US" w:eastAsia="zh-CN"/>
        </w:rPr>
      </w:pPr>
      <w:r>
        <w:rPr>
          <w:rFonts w:hint="default"/>
          <w:color w:val="auto"/>
          <w:lang w:val="en-US" w:eastAsia="zh-CN"/>
        </w:rPr>
        <w:t>东晋十六国时期，本溪市区、本溪县属平州辽东郡襄平县。</w:t>
      </w:r>
    </w:p>
    <w:p w14:paraId="468CC8F9">
      <w:pPr>
        <w:bidi w:val="0"/>
        <w:rPr>
          <w:rFonts w:hint="default"/>
          <w:color w:val="auto"/>
          <w:lang w:val="en-US" w:eastAsia="zh-CN"/>
        </w:rPr>
      </w:pPr>
      <w:r>
        <w:rPr>
          <w:rFonts w:hint="default"/>
          <w:color w:val="auto"/>
          <w:lang w:val="en-US" w:eastAsia="zh-CN"/>
        </w:rPr>
        <w:t>南北朝和隋朝时期，本溪市区。本溪县属高句丽部族政权所辖。</w:t>
      </w:r>
    </w:p>
    <w:p w14:paraId="38C0836E">
      <w:pPr>
        <w:bidi w:val="0"/>
        <w:rPr>
          <w:rFonts w:hint="default"/>
          <w:color w:val="auto"/>
          <w:lang w:val="en-US" w:eastAsia="zh-CN"/>
        </w:rPr>
      </w:pPr>
      <w:r>
        <w:rPr>
          <w:rFonts w:hint="default"/>
          <w:color w:val="auto"/>
          <w:lang w:val="en-US" w:eastAsia="zh-CN"/>
        </w:rPr>
        <w:t>唐总章元年</w:t>
      </w:r>
      <w:r>
        <w:rPr>
          <w:rFonts w:hint="eastAsia"/>
          <w:color w:val="auto"/>
          <w:lang w:val="en-US" w:eastAsia="zh-CN"/>
        </w:rPr>
        <w:t>（</w:t>
      </w:r>
      <w:r>
        <w:rPr>
          <w:rFonts w:hint="default"/>
          <w:color w:val="auto"/>
          <w:lang w:val="en-US" w:eastAsia="zh-CN"/>
        </w:rPr>
        <w:t>668年</w:t>
      </w:r>
      <w:r>
        <w:rPr>
          <w:rFonts w:hint="eastAsia"/>
          <w:color w:val="auto"/>
          <w:lang w:val="en-US" w:eastAsia="zh-CN"/>
        </w:rPr>
        <w:t>）</w:t>
      </w:r>
      <w:r>
        <w:rPr>
          <w:rFonts w:hint="default"/>
          <w:color w:val="auto"/>
          <w:lang w:val="en-US" w:eastAsia="zh-CN"/>
        </w:rPr>
        <w:t>，唐灭高句丽，收复辽东故地，置安东都护府，本溪市区、本溪县属河北道安东都护府辽城州都督桓仁县属河北道安东都护府哥勿州都督府。元和十五年</w:t>
      </w:r>
      <w:r>
        <w:rPr>
          <w:rFonts w:hint="eastAsia"/>
          <w:color w:val="auto"/>
          <w:lang w:val="en-US" w:eastAsia="zh-CN"/>
        </w:rPr>
        <w:t>（</w:t>
      </w:r>
      <w:r>
        <w:rPr>
          <w:rFonts w:hint="default"/>
          <w:color w:val="auto"/>
          <w:lang w:val="en-US" w:eastAsia="zh-CN"/>
        </w:rPr>
        <w:t>820年</w:t>
      </w:r>
      <w:r>
        <w:rPr>
          <w:rFonts w:hint="eastAsia"/>
          <w:color w:val="auto"/>
          <w:lang w:val="en-US" w:eastAsia="zh-CN"/>
        </w:rPr>
        <w:t>）</w:t>
      </w:r>
      <w:r>
        <w:rPr>
          <w:rFonts w:hint="default"/>
          <w:color w:val="auto"/>
          <w:lang w:val="en-US" w:eastAsia="zh-CN"/>
        </w:rPr>
        <w:t>，大祚荣建立渤海国，桓仁县属渤海国西京鸭渌府桓州府。</w:t>
      </w:r>
    </w:p>
    <w:p w14:paraId="33ADCF19">
      <w:pPr>
        <w:bidi w:val="0"/>
        <w:rPr>
          <w:rFonts w:hint="default"/>
          <w:color w:val="auto"/>
          <w:lang w:val="en-US" w:eastAsia="zh-CN"/>
        </w:rPr>
      </w:pPr>
      <w:r>
        <w:rPr>
          <w:rFonts w:hint="default"/>
          <w:color w:val="auto"/>
          <w:lang w:val="en-US" w:eastAsia="zh-CN"/>
        </w:rPr>
        <w:t>辽太祖三年</w:t>
      </w:r>
      <w:r>
        <w:rPr>
          <w:rFonts w:hint="eastAsia"/>
          <w:color w:val="auto"/>
          <w:lang w:val="en-US" w:eastAsia="zh-CN"/>
        </w:rPr>
        <w:t>（</w:t>
      </w:r>
      <w:r>
        <w:rPr>
          <w:rFonts w:hint="default"/>
          <w:color w:val="auto"/>
          <w:lang w:val="en-US" w:eastAsia="zh-CN"/>
        </w:rPr>
        <w:t>909年</w:t>
      </w:r>
      <w:r>
        <w:rPr>
          <w:rFonts w:hint="eastAsia"/>
          <w:color w:val="auto"/>
          <w:lang w:val="en-US" w:eastAsia="zh-CN"/>
        </w:rPr>
        <w:t>）</w:t>
      </w:r>
      <w:r>
        <w:rPr>
          <w:rFonts w:hint="default"/>
          <w:color w:val="auto"/>
          <w:lang w:val="en-US" w:eastAsia="zh-CN"/>
        </w:rPr>
        <w:t>，契丹占据辽东，本溪市区、本溪县属契丹部族辖地。神册四年</w:t>
      </w:r>
      <w:r>
        <w:rPr>
          <w:rFonts w:hint="eastAsia"/>
          <w:color w:val="auto"/>
          <w:lang w:val="en-US" w:eastAsia="zh-CN"/>
        </w:rPr>
        <w:t>（</w:t>
      </w:r>
      <w:r>
        <w:rPr>
          <w:rFonts w:hint="default"/>
          <w:color w:val="auto"/>
          <w:lang w:val="en-US" w:eastAsia="zh-CN"/>
        </w:rPr>
        <w:t>919年</w:t>
      </w:r>
      <w:r>
        <w:rPr>
          <w:rFonts w:hint="eastAsia"/>
          <w:color w:val="auto"/>
          <w:lang w:val="en-US" w:eastAsia="zh-CN"/>
        </w:rPr>
        <w:t>）</w:t>
      </w:r>
      <w:r>
        <w:rPr>
          <w:rFonts w:hint="default"/>
          <w:color w:val="auto"/>
          <w:lang w:val="en-US" w:eastAsia="zh-CN"/>
        </w:rPr>
        <w:t>，契丹修辽阳故城，改名为东平郡，本溪市区、本溪县属东平郡。天显元年</w:t>
      </w:r>
      <w:r>
        <w:rPr>
          <w:rFonts w:hint="eastAsia"/>
          <w:color w:val="auto"/>
          <w:lang w:val="en-US" w:eastAsia="zh-CN"/>
        </w:rPr>
        <w:t>（</w:t>
      </w:r>
      <w:r>
        <w:rPr>
          <w:rFonts w:hint="default"/>
          <w:color w:val="auto"/>
          <w:lang w:val="en-US" w:eastAsia="zh-CN"/>
        </w:rPr>
        <w:t>926年</w:t>
      </w:r>
      <w:r>
        <w:rPr>
          <w:rFonts w:hint="eastAsia"/>
          <w:color w:val="auto"/>
          <w:lang w:val="en-US" w:eastAsia="zh-CN"/>
        </w:rPr>
        <w:t>）</w:t>
      </w:r>
      <w:r>
        <w:rPr>
          <w:rFonts w:hint="default"/>
          <w:color w:val="auto"/>
          <w:lang w:val="en-US" w:eastAsia="zh-CN"/>
        </w:rPr>
        <w:t>，灭渤海国，改其地为东丹国，是时桓仁属东丹国。乾亨二年</w:t>
      </w:r>
      <w:r>
        <w:rPr>
          <w:rFonts w:hint="eastAsia"/>
          <w:color w:val="auto"/>
          <w:lang w:val="en-US" w:eastAsia="zh-CN"/>
        </w:rPr>
        <w:t>（</w:t>
      </w:r>
      <w:r>
        <w:rPr>
          <w:rFonts w:hint="default"/>
          <w:color w:val="auto"/>
          <w:lang w:val="en-US" w:eastAsia="zh-CN"/>
        </w:rPr>
        <w:t>980年</w:t>
      </w:r>
      <w:r>
        <w:rPr>
          <w:rFonts w:hint="eastAsia"/>
          <w:color w:val="auto"/>
          <w:lang w:val="en-US" w:eastAsia="zh-CN"/>
        </w:rPr>
        <w:t>）</w:t>
      </w:r>
      <w:r>
        <w:rPr>
          <w:rFonts w:hint="default"/>
          <w:color w:val="auto"/>
          <w:lang w:val="en-US" w:eastAsia="zh-CN"/>
        </w:rPr>
        <w:t>，废除东丹国，改置东京道，本市区、本县属东京道辽阳府，仁县属东京道鸭渌府。</w:t>
      </w:r>
    </w:p>
    <w:p w14:paraId="5CA708E0">
      <w:pPr>
        <w:bidi w:val="0"/>
        <w:rPr>
          <w:rFonts w:hint="default"/>
          <w:color w:val="auto"/>
          <w:lang w:val="en-US" w:eastAsia="zh-CN"/>
        </w:rPr>
      </w:pPr>
      <w:r>
        <w:rPr>
          <w:rFonts w:hint="default"/>
          <w:color w:val="auto"/>
          <w:lang w:val="en-US" w:eastAsia="zh-CN"/>
        </w:rPr>
        <w:t>金天会三年</w:t>
      </w:r>
      <w:r>
        <w:rPr>
          <w:rFonts w:hint="eastAsia"/>
          <w:color w:val="auto"/>
          <w:lang w:val="en-US" w:eastAsia="zh-CN"/>
        </w:rPr>
        <w:t>（</w:t>
      </w:r>
      <w:r>
        <w:rPr>
          <w:rFonts w:hint="default"/>
          <w:color w:val="auto"/>
          <w:lang w:val="en-US" w:eastAsia="zh-CN"/>
        </w:rPr>
        <w:t>1125年</w:t>
      </w:r>
      <w:r>
        <w:rPr>
          <w:rFonts w:hint="eastAsia"/>
          <w:color w:val="auto"/>
          <w:lang w:val="en-US" w:eastAsia="zh-CN"/>
        </w:rPr>
        <w:t>）</w:t>
      </w:r>
      <w:r>
        <w:rPr>
          <w:rFonts w:hint="default"/>
          <w:color w:val="auto"/>
          <w:lang w:val="en-US" w:eastAsia="zh-CN"/>
        </w:rPr>
        <w:t>，金灭辽，继而废道置路。本溪市区、本溪县属东京路辽阳府，桓仁县属东京路婆娑府。</w:t>
      </w:r>
    </w:p>
    <w:p w14:paraId="1377D7AB">
      <w:pPr>
        <w:bidi w:val="0"/>
        <w:rPr>
          <w:rFonts w:hint="default"/>
          <w:color w:val="auto"/>
          <w:lang w:val="en-US" w:eastAsia="zh-CN"/>
        </w:rPr>
      </w:pPr>
      <w:r>
        <w:rPr>
          <w:rFonts w:hint="default"/>
          <w:color w:val="auto"/>
          <w:lang w:val="en-US" w:eastAsia="zh-CN"/>
        </w:rPr>
        <w:t>元至元二十四年</w:t>
      </w:r>
      <w:r>
        <w:rPr>
          <w:rFonts w:hint="eastAsia"/>
          <w:color w:val="auto"/>
          <w:lang w:val="en-US" w:eastAsia="zh-CN"/>
        </w:rPr>
        <w:t>（</w:t>
      </w:r>
      <w:r>
        <w:rPr>
          <w:rFonts w:hint="default"/>
          <w:color w:val="auto"/>
          <w:lang w:val="en-US" w:eastAsia="zh-CN"/>
        </w:rPr>
        <w:t>1287年</w:t>
      </w:r>
      <w:r>
        <w:rPr>
          <w:rFonts w:hint="eastAsia"/>
          <w:color w:val="auto"/>
          <w:lang w:val="en-US" w:eastAsia="zh-CN"/>
        </w:rPr>
        <w:t>）</w:t>
      </w:r>
      <w:r>
        <w:rPr>
          <w:rFonts w:hint="default"/>
          <w:color w:val="auto"/>
          <w:lang w:val="en-US" w:eastAsia="zh-CN"/>
        </w:rPr>
        <w:t>，在辽阳等处设置行中书省，翌年改东京路为辽阳路，本溪市区、本溪县属辽阳行省辽阳路，桓仁县先属辽阳行省</w:t>
      </w:r>
      <w:r>
        <w:rPr>
          <w:rFonts w:hint="eastAsia"/>
          <w:color w:val="auto"/>
          <w:lang w:val="en-US" w:eastAsia="zh-CN"/>
        </w:rPr>
        <w:t>婆娑</w:t>
      </w:r>
      <w:r>
        <w:rPr>
          <w:rFonts w:hint="default"/>
          <w:color w:val="auto"/>
          <w:lang w:val="en-US" w:eastAsia="zh-CN"/>
        </w:rPr>
        <w:t>府路，后改隶婆娑巡检司。</w:t>
      </w:r>
    </w:p>
    <w:p w14:paraId="51074FBC">
      <w:pPr>
        <w:bidi w:val="0"/>
        <w:rPr>
          <w:rFonts w:hint="default"/>
          <w:color w:val="auto"/>
          <w:lang w:val="en-US" w:eastAsia="zh-CN"/>
        </w:rPr>
      </w:pPr>
      <w:r>
        <w:rPr>
          <w:rFonts w:hint="default"/>
          <w:color w:val="auto"/>
          <w:lang w:val="en-US" w:eastAsia="zh-CN"/>
        </w:rPr>
        <w:t>明洪武四年</w:t>
      </w:r>
      <w:r>
        <w:rPr>
          <w:rFonts w:hint="eastAsia"/>
          <w:color w:val="auto"/>
          <w:lang w:val="en-US" w:eastAsia="zh-CN"/>
        </w:rPr>
        <w:t>（</w:t>
      </w:r>
      <w:r>
        <w:rPr>
          <w:rFonts w:hint="default"/>
          <w:color w:val="auto"/>
          <w:lang w:val="en-US" w:eastAsia="zh-CN"/>
        </w:rPr>
        <w:t>1371年</w:t>
      </w:r>
      <w:r>
        <w:rPr>
          <w:rFonts w:hint="eastAsia"/>
          <w:color w:val="auto"/>
          <w:lang w:val="en-US" w:eastAsia="zh-CN"/>
        </w:rPr>
        <w:t>）</w:t>
      </w:r>
      <w:r>
        <w:rPr>
          <w:rFonts w:hint="default"/>
          <w:color w:val="auto"/>
          <w:lang w:val="en-US" w:eastAsia="zh-CN"/>
        </w:rPr>
        <w:t>2月，置辽东卫指挥使司，同年7月，改置定辽都卫。洪武八年</w:t>
      </w:r>
      <w:r>
        <w:rPr>
          <w:rFonts w:hint="eastAsia"/>
          <w:color w:val="auto"/>
          <w:lang w:val="en-US" w:eastAsia="zh-CN"/>
        </w:rPr>
        <w:t>（</w:t>
      </w:r>
      <w:r>
        <w:rPr>
          <w:rFonts w:hint="default"/>
          <w:color w:val="auto"/>
          <w:lang w:val="en-US" w:eastAsia="zh-CN"/>
        </w:rPr>
        <w:t>1375年</w:t>
      </w:r>
      <w:r>
        <w:rPr>
          <w:rFonts w:hint="eastAsia"/>
          <w:color w:val="auto"/>
          <w:lang w:val="en-US" w:eastAsia="zh-CN"/>
        </w:rPr>
        <w:t>）</w:t>
      </w:r>
      <w:r>
        <w:rPr>
          <w:rFonts w:hint="default"/>
          <w:color w:val="auto"/>
          <w:lang w:val="en-US" w:eastAsia="zh-CN"/>
        </w:rPr>
        <w:t>10月，又改置辽东都指挥使司。洪武十年</w:t>
      </w:r>
      <w:r>
        <w:rPr>
          <w:rFonts w:hint="eastAsia"/>
          <w:color w:val="auto"/>
          <w:lang w:val="en-US" w:eastAsia="zh-CN"/>
        </w:rPr>
        <w:t>（</w:t>
      </w:r>
      <w:r>
        <w:rPr>
          <w:rFonts w:hint="default"/>
          <w:color w:val="auto"/>
          <w:lang w:val="en-US" w:eastAsia="zh-CN"/>
        </w:rPr>
        <w:t>1377年</w:t>
      </w:r>
      <w:r>
        <w:rPr>
          <w:rFonts w:hint="eastAsia"/>
          <w:color w:val="auto"/>
          <w:lang w:val="en-US" w:eastAsia="zh-CN"/>
        </w:rPr>
        <w:t>）</w:t>
      </w:r>
      <w:r>
        <w:rPr>
          <w:rFonts w:hint="default"/>
          <w:color w:val="auto"/>
          <w:lang w:val="en-US" w:eastAsia="zh-CN"/>
        </w:rPr>
        <w:t>改所椿州县为卫、所。永乐元年</w:t>
      </w:r>
      <w:r>
        <w:rPr>
          <w:rFonts w:hint="eastAsia"/>
          <w:color w:val="auto"/>
          <w:lang w:val="en-US" w:eastAsia="zh-CN"/>
        </w:rPr>
        <w:t>（</w:t>
      </w:r>
      <w:r>
        <w:rPr>
          <w:rFonts w:hint="default"/>
          <w:color w:val="auto"/>
          <w:lang w:val="en-US" w:eastAsia="zh-CN"/>
        </w:rPr>
        <w:t>1403年</w:t>
      </w:r>
      <w:r>
        <w:rPr>
          <w:rFonts w:hint="eastAsia"/>
          <w:color w:val="auto"/>
          <w:lang w:val="en-US" w:eastAsia="zh-CN"/>
        </w:rPr>
        <w:t>）</w:t>
      </w:r>
      <w:r>
        <w:rPr>
          <w:rFonts w:hint="default"/>
          <w:color w:val="auto"/>
          <w:lang w:val="en-US" w:eastAsia="zh-CN"/>
        </w:rPr>
        <w:t>，设置建州卫。</w:t>
      </w:r>
      <w:r>
        <w:rPr>
          <w:rFonts w:hint="eastAsia"/>
          <w:color w:val="auto"/>
          <w:lang w:val="en-US" w:eastAsia="zh-CN"/>
        </w:rPr>
        <w:t>永乐六年（1408年）</w:t>
      </w:r>
      <w:r>
        <w:rPr>
          <w:rFonts w:hint="default"/>
          <w:color w:val="auto"/>
          <w:lang w:val="en-US" w:eastAsia="zh-CN"/>
        </w:rPr>
        <w:t>，设置奴儿干都指挥使司。本溪市区、本溪县属辽东都指挥使司东宁卫，桓仁县属贝儿子都指挥使司建州卫。</w:t>
      </w:r>
    </w:p>
    <w:p w14:paraId="0D748830">
      <w:pPr>
        <w:bidi w:val="0"/>
        <w:rPr>
          <w:rFonts w:hint="default"/>
          <w:color w:val="auto"/>
          <w:lang w:val="en-US" w:eastAsia="zh-CN"/>
        </w:rPr>
      </w:pPr>
      <w:r>
        <w:rPr>
          <w:rFonts w:hint="default"/>
          <w:color w:val="auto"/>
          <w:lang w:val="en-US" w:eastAsia="zh-CN"/>
        </w:rPr>
        <w:t>清顺治元年</w:t>
      </w:r>
      <w:r>
        <w:rPr>
          <w:rFonts w:hint="eastAsia"/>
          <w:color w:val="auto"/>
          <w:lang w:val="en-US" w:eastAsia="zh-CN"/>
        </w:rPr>
        <w:t>（</w:t>
      </w:r>
      <w:r>
        <w:rPr>
          <w:rFonts w:hint="default"/>
          <w:color w:val="auto"/>
          <w:lang w:val="en-US" w:eastAsia="zh-CN"/>
        </w:rPr>
        <w:t>1644年</w:t>
      </w:r>
      <w:r>
        <w:rPr>
          <w:rFonts w:hint="eastAsia"/>
          <w:color w:val="auto"/>
          <w:lang w:val="en-US" w:eastAsia="zh-CN"/>
        </w:rPr>
        <w:t>）</w:t>
      </w:r>
      <w:r>
        <w:rPr>
          <w:rFonts w:hint="default"/>
          <w:color w:val="auto"/>
          <w:lang w:val="en-US" w:eastAsia="zh-CN"/>
        </w:rPr>
        <w:t>，本溪市区、本溪县属于辽阳府。顺治十四年</w:t>
      </w:r>
      <w:r>
        <w:rPr>
          <w:rFonts w:hint="eastAsia"/>
          <w:color w:val="auto"/>
          <w:lang w:val="en-US" w:eastAsia="zh-CN"/>
        </w:rPr>
        <w:t>（</w:t>
      </w:r>
      <w:r>
        <w:rPr>
          <w:rFonts w:hint="default"/>
          <w:color w:val="auto"/>
          <w:lang w:val="en-US" w:eastAsia="zh-CN"/>
        </w:rPr>
        <w:t>1657年</w:t>
      </w:r>
      <w:r>
        <w:rPr>
          <w:rFonts w:hint="eastAsia"/>
          <w:color w:val="auto"/>
          <w:lang w:val="en-US" w:eastAsia="zh-CN"/>
        </w:rPr>
        <w:t>）</w:t>
      </w:r>
      <w:r>
        <w:rPr>
          <w:rFonts w:hint="default"/>
          <w:color w:val="auto"/>
          <w:lang w:val="en-US" w:eastAsia="zh-CN"/>
        </w:rPr>
        <w:t>移府盛京</w:t>
      </w:r>
      <w:r>
        <w:rPr>
          <w:rFonts w:hint="eastAsia"/>
          <w:color w:val="auto"/>
          <w:lang w:val="en-US" w:eastAsia="zh-CN"/>
        </w:rPr>
        <w:t>（</w:t>
      </w:r>
      <w:r>
        <w:rPr>
          <w:rFonts w:hint="default"/>
          <w:color w:val="auto"/>
          <w:lang w:val="en-US" w:eastAsia="zh-CN"/>
        </w:rPr>
        <w:t>后改为奉天府</w:t>
      </w:r>
      <w:r>
        <w:rPr>
          <w:rFonts w:hint="eastAsia"/>
          <w:color w:val="auto"/>
          <w:lang w:val="en-US" w:eastAsia="zh-CN"/>
        </w:rPr>
        <w:t>）</w:t>
      </w:r>
      <w:r>
        <w:rPr>
          <w:rFonts w:hint="default"/>
          <w:color w:val="auto"/>
          <w:lang w:val="en-US" w:eastAsia="zh-CN"/>
        </w:rPr>
        <w:t>，降辽阳府为辽阳县。康熙三年</w:t>
      </w:r>
      <w:r>
        <w:rPr>
          <w:rFonts w:hint="eastAsia"/>
          <w:color w:val="auto"/>
          <w:lang w:val="en-US" w:eastAsia="zh-CN"/>
        </w:rPr>
        <w:t>（</w:t>
      </w:r>
      <w:r>
        <w:rPr>
          <w:rFonts w:hint="default"/>
          <w:color w:val="auto"/>
          <w:lang w:val="en-US" w:eastAsia="zh-CN"/>
        </w:rPr>
        <w:t>1664年</w:t>
      </w:r>
      <w:r>
        <w:rPr>
          <w:rFonts w:hint="eastAsia"/>
          <w:color w:val="auto"/>
          <w:lang w:val="en-US" w:eastAsia="zh-CN"/>
        </w:rPr>
        <w:t>）</w:t>
      </w:r>
      <w:r>
        <w:rPr>
          <w:rFonts w:hint="default"/>
          <w:color w:val="auto"/>
          <w:lang w:val="en-US" w:eastAsia="zh-CN"/>
        </w:rPr>
        <w:t>，升辽阳县为辽阳州。清康熙年间桓仁一带被列为封禁地。光绪三年</w:t>
      </w:r>
      <w:r>
        <w:rPr>
          <w:rFonts w:hint="eastAsia"/>
          <w:color w:val="auto"/>
          <w:lang w:val="en-US" w:eastAsia="zh-CN"/>
        </w:rPr>
        <w:t>（</w:t>
      </w:r>
      <w:r>
        <w:rPr>
          <w:rFonts w:hint="default"/>
          <w:color w:val="auto"/>
          <w:lang w:val="en-US" w:eastAsia="zh-CN"/>
        </w:rPr>
        <w:t>1877年</w:t>
      </w:r>
      <w:r>
        <w:rPr>
          <w:rFonts w:hint="eastAsia"/>
          <w:color w:val="auto"/>
          <w:lang w:val="en-US" w:eastAsia="zh-CN"/>
        </w:rPr>
        <w:t>）</w:t>
      </w:r>
      <w:r>
        <w:rPr>
          <w:rFonts w:hint="default"/>
          <w:color w:val="auto"/>
          <w:lang w:val="en-US" w:eastAsia="zh-CN"/>
        </w:rPr>
        <w:t>，设置怀仁县，隶兴京抚民厅。光绪三十二年</w:t>
      </w:r>
      <w:r>
        <w:rPr>
          <w:rFonts w:hint="eastAsia"/>
          <w:color w:val="auto"/>
          <w:lang w:val="en-US" w:eastAsia="zh-CN"/>
        </w:rPr>
        <w:t>（</w:t>
      </w:r>
      <w:r>
        <w:rPr>
          <w:rFonts w:hint="default"/>
          <w:color w:val="auto"/>
          <w:lang w:val="en-US" w:eastAsia="zh-CN"/>
        </w:rPr>
        <w:t>1906年</w:t>
      </w:r>
      <w:r>
        <w:rPr>
          <w:rFonts w:hint="eastAsia"/>
          <w:color w:val="auto"/>
          <w:lang w:val="en-US" w:eastAsia="zh-CN"/>
        </w:rPr>
        <w:t>）</w:t>
      </w:r>
      <w:r>
        <w:rPr>
          <w:rFonts w:hint="default"/>
          <w:color w:val="auto"/>
          <w:lang w:val="en-US" w:eastAsia="zh-CN"/>
        </w:rPr>
        <w:t>10月，清政府正式批准将辽阳州东部、兴京抚民厅西南部、</w:t>
      </w:r>
      <w:r>
        <w:rPr>
          <w:rFonts w:hint="eastAsia"/>
          <w:color w:val="auto"/>
          <w:lang w:val="en-US" w:eastAsia="zh-CN"/>
        </w:rPr>
        <w:t>凤凰</w:t>
      </w:r>
      <w:r>
        <w:rPr>
          <w:rFonts w:hint="default"/>
          <w:color w:val="auto"/>
          <w:lang w:val="en-US" w:eastAsia="zh-CN"/>
        </w:rPr>
        <w:t>厅北部地区划出，设本溪县建置。</w:t>
      </w:r>
    </w:p>
    <w:p w14:paraId="42B2E3C4">
      <w:pPr>
        <w:bidi w:val="0"/>
        <w:rPr>
          <w:rFonts w:hint="default"/>
          <w:color w:val="auto"/>
          <w:lang w:val="en-US" w:eastAsia="zh-CN"/>
        </w:rPr>
      </w:pPr>
      <w:r>
        <w:rPr>
          <w:rFonts w:hint="default"/>
          <w:color w:val="auto"/>
          <w:lang w:val="en-US" w:eastAsia="zh-CN"/>
        </w:rPr>
        <w:t>民国三年</w:t>
      </w:r>
      <w:r>
        <w:rPr>
          <w:rFonts w:hint="eastAsia"/>
          <w:color w:val="auto"/>
          <w:lang w:val="en-US" w:eastAsia="zh-CN"/>
        </w:rPr>
        <w:t>（</w:t>
      </w:r>
      <w:r>
        <w:rPr>
          <w:rFonts w:hint="default"/>
          <w:color w:val="auto"/>
          <w:lang w:val="en-US" w:eastAsia="zh-CN"/>
        </w:rPr>
        <w:t>1914年</w:t>
      </w:r>
      <w:r>
        <w:rPr>
          <w:rFonts w:hint="eastAsia"/>
          <w:color w:val="auto"/>
          <w:lang w:val="en-US" w:eastAsia="zh-CN"/>
        </w:rPr>
        <w:t>）</w:t>
      </w:r>
      <w:r>
        <w:rPr>
          <w:rFonts w:hint="default"/>
          <w:color w:val="auto"/>
          <w:lang w:val="en-US" w:eastAsia="zh-CN"/>
        </w:rPr>
        <w:t>，本溪县、桓仁县</w:t>
      </w:r>
      <w:r>
        <w:rPr>
          <w:rFonts w:hint="eastAsia"/>
          <w:color w:val="auto"/>
          <w:lang w:val="en-US" w:eastAsia="zh-CN"/>
        </w:rPr>
        <w:t>（</w:t>
      </w:r>
      <w:r>
        <w:rPr>
          <w:rFonts w:hint="default"/>
          <w:color w:val="auto"/>
          <w:lang w:val="en-US" w:eastAsia="zh-CN"/>
        </w:rPr>
        <w:t>是年由怀仁县改称</w:t>
      </w:r>
      <w:r>
        <w:rPr>
          <w:rFonts w:hint="eastAsia"/>
          <w:color w:val="auto"/>
          <w:lang w:val="en-US" w:eastAsia="zh-CN"/>
        </w:rPr>
        <w:t>）</w:t>
      </w:r>
      <w:r>
        <w:rPr>
          <w:rFonts w:hint="default"/>
          <w:color w:val="auto"/>
          <w:lang w:val="en-US" w:eastAsia="zh-CN"/>
        </w:rPr>
        <w:t>均隶属于奉天省东边道。民国十七年</w:t>
      </w:r>
      <w:r>
        <w:rPr>
          <w:rFonts w:hint="eastAsia"/>
          <w:color w:val="auto"/>
          <w:lang w:val="en-US" w:eastAsia="zh-CN"/>
        </w:rPr>
        <w:t>（</w:t>
      </w:r>
      <w:r>
        <w:rPr>
          <w:rFonts w:hint="default"/>
          <w:color w:val="auto"/>
          <w:lang w:val="en-US" w:eastAsia="zh-CN"/>
        </w:rPr>
        <w:t>1928年</w:t>
      </w:r>
      <w:r>
        <w:rPr>
          <w:rFonts w:hint="eastAsia"/>
          <w:color w:val="auto"/>
          <w:lang w:val="en-US" w:eastAsia="zh-CN"/>
        </w:rPr>
        <w:t>）</w:t>
      </w:r>
      <w:r>
        <w:rPr>
          <w:rFonts w:hint="default"/>
          <w:color w:val="auto"/>
          <w:lang w:val="en-US" w:eastAsia="zh-CN"/>
        </w:rPr>
        <w:t>，张学良在东北易帜后，改奉天省为辽宁省，本溪、桓仁两县仍属之。民国二十一年</w:t>
      </w:r>
      <w:r>
        <w:rPr>
          <w:rFonts w:hint="eastAsia"/>
          <w:color w:val="auto"/>
          <w:lang w:val="en-US" w:eastAsia="zh-CN"/>
        </w:rPr>
        <w:t>（</w:t>
      </w:r>
      <w:r>
        <w:rPr>
          <w:rFonts w:hint="default"/>
          <w:color w:val="auto"/>
          <w:lang w:val="en-US" w:eastAsia="zh-CN"/>
        </w:rPr>
        <w:t>1932年</w:t>
      </w:r>
      <w:r>
        <w:rPr>
          <w:rFonts w:hint="eastAsia"/>
          <w:color w:val="auto"/>
          <w:lang w:val="en-US" w:eastAsia="zh-CN"/>
        </w:rPr>
        <w:t>）</w:t>
      </w:r>
      <w:r>
        <w:rPr>
          <w:rFonts w:hint="default"/>
          <w:color w:val="auto"/>
          <w:lang w:val="en-US" w:eastAsia="zh-CN"/>
        </w:rPr>
        <w:t>3月，日本建立伪满洲国，本溪县隶属于奉天省，桓仁县隶属于安东省。民国二十六年</w:t>
      </w:r>
      <w:r>
        <w:rPr>
          <w:rFonts w:hint="eastAsia"/>
          <w:color w:val="auto"/>
          <w:lang w:val="en-US" w:eastAsia="zh-CN"/>
        </w:rPr>
        <w:t>（</w:t>
      </w:r>
      <w:r>
        <w:rPr>
          <w:rFonts w:hint="default"/>
          <w:color w:val="auto"/>
          <w:lang w:val="en-US" w:eastAsia="zh-CN"/>
        </w:rPr>
        <w:t>1937年</w:t>
      </w:r>
      <w:r>
        <w:rPr>
          <w:rFonts w:hint="eastAsia"/>
          <w:color w:val="auto"/>
          <w:lang w:val="en-US" w:eastAsia="zh-CN"/>
        </w:rPr>
        <w:t>）</w:t>
      </w:r>
      <w:r>
        <w:rPr>
          <w:rFonts w:hint="default"/>
          <w:color w:val="auto"/>
          <w:lang w:val="en-US" w:eastAsia="zh-CN"/>
        </w:rPr>
        <w:t>，日伪政权实行街制，在本溪县公署所在地本溪湖设立本溪湖街。民国十八年</w:t>
      </w:r>
      <w:r>
        <w:rPr>
          <w:rFonts w:hint="eastAsia"/>
          <w:color w:val="auto"/>
          <w:lang w:val="en-US" w:eastAsia="zh-CN"/>
        </w:rPr>
        <w:t>（</w:t>
      </w:r>
      <w:r>
        <w:rPr>
          <w:rFonts w:hint="default"/>
          <w:color w:val="auto"/>
          <w:lang w:val="en-US" w:eastAsia="zh-CN"/>
        </w:rPr>
        <w:t>1939年</w:t>
      </w:r>
      <w:r>
        <w:rPr>
          <w:rFonts w:hint="eastAsia"/>
          <w:color w:val="auto"/>
          <w:lang w:val="en-US" w:eastAsia="zh-CN"/>
        </w:rPr>
        <w:t>）</w:t>
      </w:r>
      <w:r>
        <w:rPr>
          <w:rFonts w:hint="default"/>
          <w:color w:val="auto"/>
          <w:lang w:val="en-US" w:eastAsia="zh-CN"/>
        </w:rPr>
        <w:t>，伪满政权将本溪湖街、官原一带从本溪县划出，设置本溪湖市，隶属于奉天省。民国三十四年</w:t>
      </w:r>
      <w:r>
        <w:rPr>
          <w:rFonts w:hint="eastAsia"/>
          <w:color w:val="auto"/>
          <w:lang w:val="en-US" w:eastAsia="zh-CN"/>
        </w:rPr>
        <w:t>（</w:t>
      </w:r>
      <w:r>
        <w:rPr>
          <w:rFonts w:hint="default"/>
          <w:color w:val="auto"/>
          <w:lang w:val="en-US" w:eastAsia="zh-CN"/>
        </w:rPr>
        <w:t>1945年</w:t>
      </w:r>
      <w:r>
        <w:rPr>
          <w:rFonts w:hint="eastAsia"/>
          <w:color w:val="auto"/>
          <w:lang w:val="en-US" w:eastAsia="zh-CN"/>
        </w:rPr>
        <w:t>）</w:t>
      </w:r>
      <w:r>
        <w:rPr>
          <w:rFonts w:hint="default"/>
          <w:color w:val="auto"/>
          <w:lang w:val="en-US" w:eastAsia="zh-CN"/>
        </w:rPr>
        <w:t>8月15日，日本帝国主义宣告无条件投降，9月18日，中国共产党领导的冀热辽军区十六军分区部队进驻本溪，10月8日和10月18日，先后成立本溪市、本溪县民主政府，均隶属于辽宁省。民国三十五年</w:t>
      </w:r>
      <w:r>
        <w:rPr>
          <w:rFonts w:hint="eastAsia"/>
          <w:color w:val="auto"/>
          <w:lang w:val="en-US" w:eastAsia="zh-CN"/>
        </w:rPr>
        <w:t>（</w:t>
      </w:r>
      <w:r>
        <w:rPr>
          <w:rFonts w:hint="default"/>
          <w:color w:val="auto"/>
          <w:lang w:val="en-US" w:eastAsia="zh-CN"/>
        </w:rPr>
        <w:t>1946年</w:t>
      </w:r>
      <w:r>
        <w:rPr>
          <w:rFonts w:hint="eastAsia"/>
          <w:color w:val="auto"/>
          <w:lang w:val="en-US" w:eastAsia="zh-CN"/>
        </w:rPr>
        <w:t>）</w:t>
      </w:r>
      <w:r>
        <w:rPr>
          <w:rFonts w:hint="default"/>
          <w:color w:val="auto"/>
          <w:lang w:val="en-US" w:eastAsia="zh-CN"/>
        </w:rPr>
        <w:t>，国民党军队大举进攻解放区；同年5月3日，占据本溪市区，成立国民党本溪湖市政府及本溪县政府，隶属于辽宁省；同年10月1日，国民党辽宁省政府下令撤销本溪湖市，将市区并入本溪县。民国二十七年</w:t>
      </w:r>
      <w:r>
        <w:rPr>
          <w:rFonts w:hint="eastAsia"/>
          <w:color w:val="auto"/>
          <w:lang w:val="en-US" w:eastAsia="zh-CN"/>
        </w:rPr>
        <w:t>（</w:t>
      </w:r>
      <w:r>
        <w:rPr>
          <w:rFonts w:hint="default"/>
          <w:color w:val="auto"/>
          <w:lang w:val="en-US" w:eastAsia="zh-CN"/>
        </w:rPr>
        <w:t>1948年</w:t>
      </w:r>
      <w:r>
        <w:rPr>
          <w:rFonts w:hint="eastAsia"/>
          <w:color w:val="auto"/>
          <w:lang w:val="en-US" w:eastAsia="zh-CN"/>
        </w:rPr>
        <w:t>）</w:t>
      </w:r>
      <w:r>
        <w:rPr>
          <w:rFonts w:hint="default"/>
          <w:color w:val="auto"/>
          <w:lang w:val="en-US" w:eastAsia="zh-CN"/>
        </w:rPr>
        <w:t>，本溪全境解放，成立本溪市人民政府，本溪市、本溪县、桓仁县均隶属于安东省。民国三十八年</w:t>
      </w:r>
      <w:r>
        <w:rPr>
          <w:rFonts w:hint="eastAsia"/>
          <w:color w:val="auto"/>
          <w:lang w:val="en-US" w:eastAsia="zh-CN"/>
        </w:rPr>
        <w:t>（</w:t>
      </w:r>
      <w:r>
        <w:rPr>
          <w:rFonts w:hint="default"/>
          <w:color w:val="auto"/>
          <w:lang w:val="en-US" w:eastAsia="zh-CN"/>
        </w:rPr>
        <w:t>1949年</w:t>
      </w:r>
      <w:r>
        <w:rPr>
          <w:rFonts w:hint="eastAsia"/>
          <w:color w:val="auto"/>
          <w:lang w:val="en-US" w:eastAsia="zh-CN"/>
        </w:rPr>
        <w:t>）</w:t>
      </w:r>
      <w:r>
        <w:rPr>
          <w:rFonts w:hint="default"/>
          <w:color w:val="auto"/>
          <w:lang w:val="en-US" w:eastAsia="zh-CN"/>
        </w:rPr>
        <w:t>4月，东北行政委员会决定，将安东省与辽宁省合并，成立辽东省、辽西省，本溪市中东北行政委员会直辖，本溪县、桓仁县隶属辽东省。</w:t>
      </w:r>
    </w:p>
    <w:p w14:paraId="675DF9A5">
      <w:pPr>
        <w:bidi w:val="0"/>
        <w:rPr>
          <w:rFonts w:hint="default"/>
          <w:color w:val="auto"/>
          <w:lang w:val="en-US" w:eastAsia="zh-CN"/>
        </w:rPr>
      </w:pPr>
      <w:r>
        <w:rPr>
          <w:rFonts w:hint="default"/>
          <w:color w:val="auto"/>
          <w:lang w:val="en-US" w:eastAsia="zh-CN"/>
        </w:rPr>
        <w:t>1952年9月，中央人民政府决定撤销本溪县，其原辖区亦并入本溪市。</w:t>
      </w:r>
    </w:p>
    <w:p w14:paraId="57B698BD">
      <w:pPr>
        <w:bidi w:val="0"/>
        <w:rPr>
          <w:rFonts w:hint="default"/>
          <w:color w:val="auto"/>
          <w:lang w:val="en-US" w:eastAsia="zh-CN"/>
        </w:rPr>
      </w:pPr>
      <w:r>
        <w:rPr>
          <w:rFonts w:hint="default"/>
          <w:color w:val="auto"/>
          <w:lang w:val="en-US" w:eastAsia="zh-CN"/>
        </w:rPr>
        <w:t>1953年4月，中华人民共和国政务院决定，本溪市改由中央人民政府直辖，</w:t>
      </w:r>
    </w:p>
    <w:p w14:paraId="4007E68B">
      <w:pPr>
        <w:bidi w:val="0"/>
        <w:rPr>
          <w:rFonts w:hint="default"/>
          <w:color w:val="auto"/>
          <w:lang w:val="en-US" w:eastAsia="zh-CN"/>
        </w:rPr>
      </w:pPr>
      <w:r>
        <w:rPr>
          <w:rFonts w:hint="default"/>
          <w:color w:val="auto"/>
          <w:lang w:val="en-US" w:eastAsia="zh-CN"/>
        </w:rPr>
        <w:t>1954年6月，国务院决定辽东省、辽西省合并成立辽宁省，本溪市改由辽宁省管辖，桓仁县为辽宁省安东专区所辖。</w:t>
      </w:r>
    </w:p>
    <w:p w14:paraId="59BF9B50">
      <w:pPr>
        <w:bidi w:val="0"/>
        <w:rPr>
          <w:rFonts w:hint="default"/>
          <w:color w:val="auto"/>
          <w:lang w:val="en-US" w:eastAsia="zh-CN"/>
        </w:rPr>
      </w:pPr>
      <w:r>
        <w:rPr>
          <w:rFonts w:hint="default"/>
          <w:color w:val="auto"/>
          <w:lang w:val="en-US" w:eastAsia="zh-CN"/>
        </w:rPr>
        <w:t>1992年7月25日，国务院批准本溪市为</w:t>
      </w:r>
      <w:r>
        <w:rPr>
          <w:rFonts w:hint="eastAsia"/>
          <w:color w:val="auto"/>
          <w:lang w:val="en-US" w:eastAsia="zh-CN"/>
        </w:rPr>
        <w:t>“</w:t>
      </w:r>
      <w:r>
        <w:rPr>
          <w:rFonts w:hint="default"/>
          <w:color w:val="auto"/>
          <w:lang w:val="en-US" w:eastAsia="zh-CN"/>
        </w:rPr>
        <w:t>较大的市</w:t>
      </w:r>
      <w:r>
        <w:rPr>
          <w:rFonts w:hint="eastAsia"/>
          <w:color w:val="auto"/>
          <w:lang w:val="en-US" w:eastAsia="zh-CN"/>
        </w:rPr>
        <w:t>”</w:t>
      </w:r>
      <w:r>
        <w:rPr>
          <w:rFonts w:hint="default"/>
          <w:color w:val="auto"/>
          <w:lang w:val="en-US" w:eastAsia="zh-CN"/>
        </w:rPr>
        <w:t>。</w:t>
      </w:r>
    </w:p>
    <w:p w14:paraId="515BE831">
      <w:pPr>
        <w:bidi w:val="0"/>
        <w:ind w:left="0" w:leftChars="0" w:firstLine="0" w:firstLineChars="0"/>
        <w:jc w:val="center"/>
        <w:rPr>
          <w:rFonts w:hint="default"/>
          <w:color w:val="auto"/>
          <w:lang w:val="en-US" w:eastAsia="zh-CN"/>
        </w:rPr>
      </w:pPr>
      <w:r>
        <w:rPr>
          <w:rFonts w:hint="default"/>
          <w:color w:val="auto"/>
          <w:lang w:val="en-US" w:eastAsia="zh-CN"/>
        </w:rPr>
        <w:drawing>
          <wp:inline distT="0" distB="0" distL="114300" distR="114300">
            <wp:extent cx="3625850" cy="4090035"/>
            <wp:effectExtent l="0" t="0" r="1270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3625850" cy="4090035"/>
                    </a:xfrm>
                    <a:prstGeom prst="rect">
                      <a:avLst/>
                    </a:prstGeom>
                    <a:noFill/>
                    <a:ln>
                      <a:noFill/>
                    </a:ln>
                  </pic:spPr>
                </pic:pic>
              </a:graphicData>
            </a:graphic>
          </wp:inline>
        </w:drawing>
      </w:r>
    </w:p>
    <w:p w14:paraId="678B6CD8">
      <w:pPr>
        <w:bidi w:val="0"/>
        <w:jc w:val="center"/>
        <w:rPr>
          <w:rFonts w:hint="default"/>
          <w:b/>
          <w:bCs/>
          <w:color w:val="auto"/>
          <w:sz w:val="24"/>
          <w:szCs w:val="20"/>
          <w:lang w:val="en-US" w:eastAsia="zh-CN"/>
        </w:rPr>
      </w:pPr>
      <w:r>
        <w:rPr>
          <w:rFonts w:hint="eastAsia"/>
          <w:b/>
          <w:bCs/>
          <w:color w:val="auto"/>
          <w:sz w:val="24"/>
          <w:szCs w:val="20"/>
          <w:lang w:val="en-US" w:eastAsia="zh-CN"/>
        </w:rPr>
        <w:t>图2.1-1 本溪市区位图（引自《本溪市国土空间总体规划（2021—2035年）》）</w:t>
      </w:r>
    </w:p>
    <w:p w14:paraId="2A254A0C">
      <w:pPr>
        <w:bidi w:val="0"/>
        <w:rPr>
          <w:rFonts w:hint="eastAsia"/>
          <w:color w:val="auto"/>
          <w:lang w:val="en-US" w:eastAsia="zh-CN"/>
        </w:rPr>
      </w:pPr>
      <w:r>
        <w:rPr>
          <w:rFonts w:hint="eastAsia"/>
          <w:color w:val="auto"/>
          <w:lang w:val="en-US" w:eastAsia="zh-CN"/>
        </w:rPr>
        <w:t>（二）区划沿革</w:t>
      </w:r>
    </w:p>
    <w:p w14:paraId="513EC9CD">
      <w:pPr>
        <w:bidi w:val="0"/>
        <w:rPr>
          <w:rFonts w:hint="default"/>
          <w:color w:val="auto"/>
          <w:lang w:val="en-US" w:eastAsia="zh-CN"/>
        </w:rPr>
      </w:pPr>
      <w:r>
        <w:rPr>
          <w:rFonts w:hint="default"/>
          <w:color w:val="auto"/>
          <w:lang w:val="en-US" w:eastAsia="zh-CN"/>
        </w:rPr>
        <w:t>1950年6月，本溪市区改划为5个行政区：河西区，河东区，官原区，彩屯区，大峪区，其中大峪区为市郊农村区1951年4月，撤销河西、河东、官原、彩屯4个区的建制，全市组建26个居民委员会，直隶于市政府。同年10月，又重新恢复4个区的建制。</w:t>
      </w:r>
    </w:p>
    <w:p w14:paraId="23ACE3C8">
      <w:pPr>
        <w:bidi w:val="0"/>
        <w:rPr>
          <w:rFonts w:hint="default"/>
          <w:color w:val="auto"/>
          <w:lang w:val="en-US" w:eastAsia="zh-CN"/>
        </w:rPr>
      </w:pPr>
      <w:r>
        <w:rPr>
          <w:rFonts w:hint="default"/>
          <w:color w:val="auto"/>
          <w:lang w:val="en-US" w:eastAsia="zh-CN"/>
        </w:rPr>
        <w:t>1952年9月，本溪县并入本溪市，增设9个郊区，城乡共14个行政区；彩屯区、工源区、河东区、河西区、石桥子区、牛心台区，桥头区、草河口区、草河掌区、偏岭区、碱厂区、清河城区、小市区、南芬区。</w:t>
      </w:r>
    </w:p>
    <w:p w14:paraId="3477DFA0">
      <w:pPr>
        <w:bidi w:val="0"/>
        <w:rPr>
          <w:rFonts w:hint="default"/>
          <w:color w:val="auto"/>
          <w:lang w:val="en-US" w:eastAsia="zh-CN"/>
        </w:rPr>
      </w:pPr>
      <w:r>
        <w:rPr>
          <w:rFonts w:hint="default"/>
          <w:color w:val="auto"/>
          <w:lang w:val="en-US" w:eastAsia="zh-CN"/>
        </w:rPr>
        <w:t>1955年，将彩屯、工源两个区合并，设立平山区：将河东、河西两个区合并，设立本溪区</w:t>
      </w:r>
      <w:r>
        <w:rPr>
          <w:rFonts w:hint="eastAsia"/>
          <w:color w:val="auto"/>
          <w:lang w:val="en-US" w:eastAsia="zh-CN"/>
        </w:rPr>
        <w:t>（</w:t>
      </w:r>
      <w:r>
        <w:rPr>
          <w:rFonts w:hint="default"/>
          <w:color w:val="auto"/>
          <w:lang w:val="en-US" w:eastAsia="zh-CN"/>
        </w:rPr>
        <w:t>翌年改为溪湖区</w:t>
      </w:r>
      <w:r>
        <w:rPr>
          <w:rFonts w:hint="eastAsia"/>
          <w:color w:val="auto"/>
          <w:lang w:val="en-US" w:eastAsia="zh-CN"/>
        </w:rPr>
        <w:t>）</w:t>
      </w:r>
      <w:r>
        <w:rPr>
          <w:rFonts w:hint="default"/>
          <w:color w:val="auto"/>
          <w:lang w:val="en-US" w:eastAsia="zh-CN"/>
        </w:rPr>
        <w:t>1956年5月，经国务院批准，重新设立本溪县，将市郊9个区和抚顺市五龙区、抚南区划入本溪县。</w:t>
      </w:r>
    </w:p>
    <w:p w14:paraId="33197E39">
      <w:pPr>
        <w:bidi w:val="0"/>
        <w:rPr>
          <w:rFonts w:hint="default"/>
          <w:color w:val="auto"/>
          <w:lang w:val="en-US" w:eastAsia="zh-CN"/>
        </w:rPr>
      </w:pPr>
      <w:r>
        <w:rPr>
          <w:rFonts w:hint="default"/>
          <w:color w:val="auto"/>
          <w:lang w:val="en-US" w:eastAsia="zh-CN"/>
        </w:rPr>
        <w:t>1958年，南芬、田师傅、牛心台3个矿区撤销，其行政区重归本溪县管辖。</w:t>
      </w:r>
    </w:p>
    <w:p w14:paraId="494F0E8A">
      <w:pPr>
        <w:bidi w:val="0"/>
        <w:rPr>
          <w:rFonts w:hint="default"/>
          <w:color w:val="auto"/>
          <w:lang w:val="en-US" w:eastAsia="zh-CN"/>
        </w:rPr>
      </w:pPr>
      <w:r>
        <w:rPr>
          <w:rFonts w:hint="default"/>
          <w:color w:val="auto"/>
          <w:lang w:val="en-US" w:eastAsia="zh-CN"/>
        </w:rPr>
        <w:t>1959年1月，原为安东专区所辖的桓仁县划归本溪市所辖。同年3月，又将本溪县南芬、牛心台等地划归市区，设立牛心台郊。</w:t>
      </w:r>
    </w:p>
    <w:p w14:paraId="48572F8F">
      <w:pPr>
        <w:bidi w:val="0"/>
        <w:rPr>
          <w:rFonts w:hint="default"/>
          <w:color w:val="auto"/>
          <w:lang w:val="en-US" w:eastAsia="zh-CN"/>
        </w:rPr>
      </w:pPr>
      <w:r>
        <w:rPr>
          <w:rFonts w:hint="default"/>
          <w:color w:val="auto"/>
          <w:lang w:val="en-US" w:eastAsia="zh-CN"/>
        </w:rPr>
        <w:t>1966年，撤销牛心台区，设立彩市区，以原牛心台区南芬镇、南芬公社部分地区和平山区彩屯、彩北、竖井等地区为其行政区域。</w:t>
      </w:r>
    </w:p>
    <w:p w14:paraId="463AC99C">
      <w:pPr>
        <w:bidi w:val="0"/>
        <w:rPr>
          <w:rFonts w:hint="default"/>
          <w:color w:val="auto"/>
          <w:lang w:val="en-US" w:eastAsia="zh-CN"/>
        </w:rPr>
      </w:pPr>
      <w:r>
        <w:rPr>
          <w:rFonts w:hint="default"/>
          <w:color w:val="auto"/>
          <w:lang w:val="en-US" w:eastAsia="zh-CN"/>
        </w:rPr>
        <w:t>1968年5月，本溪市彩屯区更名为立新区，管辖市郊农村。</w:t>
      </w:r>
    </w:p>
    <w:p w14:paraId="5F32EF01">
      <w:pPr>
        <w:bidi w:val="0"/>
        <w:rPr>
          <w:rFonts w:hint="default"/>
          <w:color w:val="auto"/>
          <w:lang w:val="en-US" w:eastAsia="zh-CN"/>
        </w:rPr>
      </w:pPr>
      <w:r>
        <w:rPr>
          <w:rFonts w:hint="default"/>
          <w:color w:val="auto"/>
          <w:lang w:val="en-US" w:eastAsia="zh-CN"/>
        </w:rPr>
        <w:t>1984年12月，对市区的行政区划进行调整，共划分为4个区：平山区、溪湖区、明山区、南芬区。</w:t>
      </w:r>
    </w:p>
    <w:p w14:paraId="30A2D782">
      <w:pPr>
        <w:bidi w:val="0"/>
        <w:rPr>
          <w:rFonts w:hint="default"/>
          <w:color w:val="auto"/>
          <w:lang w:val="en-US" w:eastAsia="zh-CN"/>
        </w:rPr>
      </w:pPr>
      <w:r>
        <w:rPr>
          <w:rFonts w:hint="default"/>
          <w:color w:val="auto"/>
          <w:lang w:val="en-US" w:eastAsia="zh-CN"/>
        </w:rPr>
        <w:t>1989年，国务院批复设立本溪满族自治县和桓仁满族自治县。</w:t>
      </w:r>
    </w:p>
    <w:p w14:paraId="787265F4">
      <w:pPr>
        <w:bidi w:val="0"/>
        <w:rPr>
          <w:rFonts w:hint="default"/>
          <w:color w:val="auto"/>
          <w:lang w:val="en-US" w:eastAsia="zh-CN"/>
        </w:rPr>
      </w:pPr>
      <w:r>
        <w:rPr>
          <w:rFonts w:hint="default"/>
          <w:color w:val="auto"/>
          <w:lang w:val="en-US" w:eastAsia="zh-CN"/>
        </w:rPr>
        <w:t>截至2023年6月，本溪市辖4个区、2个自治县：平山区、明山区、溪湖区、南芬区、本溪满族自治县、桓仁满族自治县18个镇、5个乡</w:t>
      </w:r>
      <w:r>
        <w:rPr>
          <w:rFonts w:hint="eastAsia"/>
          <w:color w:val="auto"/>
          <w:lang w:val="en-US" w:eastAsia="zh-CN"/>
        </w:rPr>
        <w:t>（</w:t>
      </w:r>
      <w:r>
        <w:rPr>
          <w:rFonts w:hint="default"/>
          <w:color w:val="auto"/>
          <w:lang w:val="en-US" w:eastAsia="zh-CN"/>
        </w:rPr>
        <w:t>含一个民族乡</w:t>
      </w:r>
      <w:r>
        <w:rPr>
          <w:rFonts w:hint="eastAsia"/>
          <w:color w:val="auto"/>
          <w:lang w:val="en-US" w:eastAsia="zh-CN"/>
        </w:rPr>
        <w:t>）</w:t>
      </w:r>
      <w:r>
        <w:rPr>
          <w:rFonts w:hint="default"/>
          <w:color w:val="auto"/>
          <w:lang w:val="en-US" w:eastAsia="zh-CN"/>
        </w:rPr>
        <w:t>，26个街道办事处、288个村民委员会、211个社区居民委员会。市人民政府驻高新技术产业开发区枫叶路188-1号。</w:t>
      </w:r>
    </w:p>
    <w:p w14:paraId="27E1FC1B">
      <w:pPr>
        <w:bidi w:val="0"/>
        <w:rPr>
          <w:rFonts w:hint="eastAsia"/>
          <w:color w:val="auto"/>
          <w:lang w:val="en-US" w:eastAsia="zh-CN"/>
        </w:rPr>
      </w:pPr>
      <w:r>
        <w:rPr>
          <w:rFonts w:hint="eastAsia"/>
          <w:color w:val="auto"/>
          <w:lang w:val="en-US" w:eastAsia="zh-CN"/>
        </w:rPr>
        <w:t>（三）项目自然概况</w:t>
      </w:r>
    </w:p>
    <w:p w14:paraId="5FD4549A">
      <w:pPr>
        <w:bidi w:val="0"/>
        <w:rPr>
          <w:rFonts w:hint="default"/>
          <w:color w:val="auto"/>
          <w:lang w:val="en-US" w:eastAsia="zh-CN"/>
        </w:rPr>
      </w:pPr>
      <w:r>
        <w:rPr>
          <w:rFonts w:hint="eastAsia"/>
          <w:color w:val="auto"/>
          <w:lang w:val="en-US" w:eastAsia="zh-CN"/>
        </w:rPr>
        <w:t>1、地理位置</w:t>
      </w:r>
    </w:p>
    <w:p w14:paraId="547C7362">
      <w:pPr>
        <w:keepNext w:val="0"/>
        <w:keepLines w:val="0"/>
        <w:pageBreakBefore w:val="0"/>
        <w:widowControl/>
        <w:kinsoku w:val="0"/>
        <w:wordWrap/>
        <w:overflowPunct/>
        <w:topLinePunct w:val="0"/>
        <w:autoSpaceDE/>
        <w:autoSpaceDN/>
        <w:bidi w:val="0"/>
        <w:adjustRightInd w:val="0"/>
        <w:snapToGrid w:val="0"/>
        <w:textAlignment w:val="baseline"/>
        <w:rPr>
          <w:rFonts w:hint="default"/>
          <w:color w:val="auto"/>
          <w:lang w:val="en-US" w:eastAsia="zh-CN"/>
        </w:rPr>
      </w:pPr>
      <w:r>
        <w:rPr>
          <w:rFonts w:hint="default"/>
          <w:color w:val="auto"/>
          <w:lang w:val="en-US" w:eastAsia="zh-CN"/>
        </w:rPr>
        <w:t>本溪市位于辽宁省东部，东与吉林省通化市接壤，西邻辽阳市，南邻丹东市，北靠沈阳市，是沈丹铁路、丹阜高速的重要枢纽。域内重峦叠嶂，连绵起伏，山多田少，河流密布。地势东高西低、南高北低，平均海拔约350米，老秃顶子山主峰为全域最高处，海拔约1367米。本溪市气候属中温带湿润气候区，四季分明，雨量充沛，多年平均降雨量793.7毫米，年平均气温7.8℃，年平均日照时数2389.2小时。</w:t>
      </w:r>
    </w:p>
    <w:p w14:paraId="79AB59FF">
      <w:pPr>
        <w:bidi w:val="0"/>
        <w:rPr>
          <w:rFonts w:hint="default"/>
          <w:color w:val="auto"/>
          <w:highlight w:val="none"/>
          <w:lang w:val="en-US" w:eastAsia="zh-CN"/>
        </w:rPr>
      </w:pPr>
      <w:r>
        <w:rPr>
          <w:rFonts w:hint="default"/>
          <w:color w:val="auto"/>
          <w:highlight w:val="none"/>
          <w:lang w:val="en-US" w:eastAsia="zh-CN"/>
        </w:rPr>
        <w:t>本溪市地区河流密布，全市流域面积10平方公里以上的河流共计251条，其中流域面积大于100平方千米的有30条。这些河流分属于太子河、浑江和草河三大水系。太子河是本溪境内最大的河流，全长363千米，其中流经本溪境内的河长从南支源头算起共计194.5千米，经辽阳地界在海城境内与浑河汇合注入渤海。浑江是鸭绿江中朝界河在中国一侧最大的支流，全长431千米。浑江干流流经桓仁满族自治县7个乡镇，境内长176.1千米。流经桓仁浑江水库，最后流入宽甸满族自治县境内注入鸭绿江。草河是鸭绿江流域叆河的支流，流经本溪满族自治县境内，河长56.2千米。草河发源于本溪满族自治县南部草河掌岭，东靠叆河，北邻小汤河，西为细河。草河由北向南流经草河掌、草河城和凤城市等地域后注入鸭绿江。</w:t>
      </w:r>
    </w:p>
    <w:p w14:paraId="3360C54D">
      <w:pPr>
        <w:bidi w:val="0"/>
        <w:rPr>
          <w:rFonts w:hint="default"/>
          <w:color w:val="auto"/>
          <w:lang w:val="en-US" w:eastAsia="zh-CN"/>
        </w:rPr>
      </w:pPr>
      <w:r>
        <w:rPr>
          <w:rFonts w:hint="eastAsia"/>
          <w:color w:val="auto"/>
          <w:lang w:val="en-US" w:eastAsia="zh-CN"/>
        </w:rPr>
        <w:t>2、自然资源</w:t>
      </w:r>
    </w:p>
    <w:p w14:paraId="12E07949">
      <w:pPr>
        <w:bidi w:val="0"/>
        <w:rPr>
          <w:rFonts w:hint="default"/>
          <w:color w:val="auto"/>
          <w:lang w:val="en-US" w:eastAsia="zh-CN"/>
        </w:rPr>
      </w:pPr>
      <w:r>
        <w:rPr>
          <w:rFonts w:hint="eastAsia"/>
          <w:color w:val="auto"/>
          <w:lang w:val="en-US" w:eastAsia="zh-CN"/>
        </w:rPr>
        <w:t>本溪</w:t>
      </w:r>
      <w:r>
        <w:rPr>
          <w:rFonts w:hint="default"/>
          <w:color w:val="auto"/>
          <w:lang w:val="en-US" w:eastAsia="zh-CN"/>
        </w:rPr>
        <w:t>市是全省水资源大市，水资源多年平均总量32.56亿立方米，全省排第三位；人均占有量2070立方米，全省排第二位；亩均占有量3072立方米，全省排第一位。</w:t>
      </w:r>
    </w:p>
    <w:p w14:paraId="59C03E18">
      <w:pPr>
        <w:bidi w:val="0"/>
        <w:rPr>
          <w:rFonts w:hint="default"/>
          <w:color w:val="auto"/>
          <w:lang w:val="en-US" w:eastAsia="zh-CN"/>
        </w:rPr>
      </w:pPr>
      <w:r>
        <w:rPr>
          <w:rFonts w:hint="default"/>
          <w:color w:val="auto"/>
          <w:lang w:val="en-US" w:eastAsia="zh-CN"/>
        </w:rPr>
        <w:t>本溪市土地资源总面积为84.11万公顷，其中耕地7万公顷，园地8790公顷，林地65.3万公顷，工矿用地和城乡居民用地3.41万公顷。</w:t>
      </w:r>
    </w:p>
    <w:p w14:paraId="29F1EA8F">
      <w:pPr>
        <w:bidi w:val="0"/>
        <w:rPr>
          <w:rFonts w:hint="default"/>
          <w:color w:val="auto"/>
          <w:lang w:val="en-US" w:eastAsia="zh-CN"/>
        </w:rPr>
      </w:pPr>
      <w:r>
        <w:rPr>
          <w:rFonts w:hint="default"/>
          <w:color w:val="auto"/>
          <w:lang w:val="en-US" w:eastAsia="zh-CN"/>
        </w:rPr>
        <w:t>本溪市具有经济价值的野生植物千余种，其中树种45科，103属、241</w:t>
      </w:r>
      <w:r>
        <w:rPr>
          <w:rFonts w:hint="eastAsia"/>
          <w:color w:val="auto"/>
          <w:lang w:val="en-US" w:eastAsia="zh-CN"/>
        </w:rPr>
        <w:t>种</w:t>
      </w:r>
      <w:r>
        <w:rPr>
          <w:rFonts w:hint="default"/>
          <w:color w:val="auto"/>
          <w:lang w:val="en-US" w:eastAsia="zh-CN"/>
        </w:rPr>
        <w:t>，中草药114科、970种。其中有大量红松、油松、落叶松以及柞、桦、椴、榆、柳等珍贵木材。</w:t>
      </w:r>
    </w:p>
    <w:p w14:paraId="5B86C002">
      <w:pPr>
        <w:bidi w:val="0"/>
        <w:rPr>
          <w:rFonts w:hint="default"/>
          <w:color w:val="auto"/>
          <w:lang w:val="en-US" w:eastAsia="zh-CN"/>
        </w:rPr>
      </w:pPr>
      <w:r>
        <w:rPr>
          <w:rFonts w:hint="default"/>
          <w:color w:val="auto"/>
          <w:lang w:val="en-US" w:eastAsia="zh-CN"/>
        </w:rPr>
        <w:t>本溪市已探知的矿产资源有100余种，其中金属矿产资源有铁、铜、铅、锌、铝、金等；稀有和放射性矿产资源铀、绿柱石等；非金属矿产资源有煤、石灰石、滑石、黏土、硅石、云母、大理石、花岗石、石膏等；化工用矿产资源有硫化铁、磷矿等全市有较为丰富的地热资源，现已开放2处。汤沟温泉出地表水温高达76℃，水量充足，有1.33公顷地面冬季不结冰，温泉寺的温泉出地表水温49℃。这些温泉水中均含有丰富的矿物质。</w:t>
      </w:r>
    </w:p>
    <w:p w14:paraId="16B14B19">
      <w:pPr>
        <w:bidi w:val="0"/>
        <w:rPr>
          <w:rFonts w:hint="default"/>
          <w:color w:val="auto"/>
          <w:lang w:val="en-US" w:eastAsia="zh-CN"/>
        </w:rPr>
      </w:pPr>
      <w:r>
        <w:rPr>
          <w:rFonts w:hint="eastAsia"/>
          <w:color w:val="auto"/>
          <w:lang w:val="en-US" w:eastAsia="zh-CN"/>
        </w:rPr>
        <w:t>（四）人口与经济</w:t>
      </w:r>
    </w:p>
    <w:p w14:paraId="59BF80DC">
      <w:pPr>
        <w:bidi w:val="0"/>
        <w:rPr>
          <w:rFonts w:hint="default"/>
          <w:color w:val="auto"/>
          <w:lang w:val="en-US" w:eastAsia="zh-CN"/>
        </w:rPr>
      </w:pPr>
      <w:r>
        <w:rPr>
          <w:rFonts w:hint="default"/>
          <w:color w:val="auto"/>
          <w:lang w:val="en-US" w:eastAsia="zh-CN"/>
        </w:rPr>
        <w:t>截至2023年末，本溪市户籍人口1379735人，比上年减少22519人。其中，城镇人口970897人，占总人口数的70.37%；乡村人口408838人，占总人口数的29.63%。全年登记出生人口数3879人，出生率为2.79%；死亡人口20084人，死亡率为14.44%；人口自然增长率为-11.65%。</w:t>
      </w:r>
    </w:p>
    <w:p w14:paraId="6F8AE349">
      <w:pPr>
        <w:bidi w:val="0"/>
        <w:rPr>
          <w:rFonts w:hint="default"/>
          <w:color w:val="auto"/>
          <w:lang w:val="en-US" w:eastAsia="zh-CN"/>
        </w:rPr>
      </w:pPr>
      <w:r>
        <w:rPr>
          <w:rFonts w:hint="default"/>
          <w:color w:val="auto"/>
          <w:lang w:val="en-US" w:eastAsia="zh-CN"/>
        </w:rPr>
        <w:t>2023年，本溪市地区生产总值971亿元，按可比价格计算，比上年增长5.8%。其中，第一产业增加值59.4亿元，增长4.3%；第二产业增加值464.1亿元，增长5.3%；第三产业增加值447.5亿元，增长6.3%。三次产业之比为6.1</w:t>
      </w:r>
      <w:r>
        <w:rPr>
          <w:rFonts w:hint="eastAsia"/>
          <w:color w:val="auto"/>
          <w:lang w:val="en-US" w:eastAsia="zh-CN"/>
        </w:rPr>
        <w:t>：</w:t>
      </w:r>
      <w:r>
        <w:rPr>
          <w:rFonts w:hint="default"/>
          <w:color w:val="auto"/>
          <w:lang w:val="en-US" w:eastAsia="zh-CN"/>
        </w:rPr>
        <w:t>47.8</w:t>
      </w:r>
      <w:r>
        <w:rPr>
          <w:rFonts w:hint="eastAsia"/>
          <w:color w:val="auto"/>
          <w:lang w:val="en-US" w:eastAsia="zh-CN"/>
        </w:rPr>
        <w:t>：</w:t>
      </w:r>
      <w:r>
        <w:rPr>
          <w:rFonts w:hint="default"/>
          <w:color w:val="auto"/>
          <w:lang w:val="en-US" w:eastAsia="zh-CN"/>
        </w:rPr>
        <w:t>46.1。全年人均地区生产总值77217.4元，比上年增长7.8%。</w:t>
      </w:r>
    </w:p>
    <w:p w14:paraId="3E3EC70F">
      <w:pPr>
        <w:bidi w:val="0"/>
        <w:rPr>
          <w:rFonts w:hint="default"/>
          <w:color w:val="auto"/>
          <w:lang w:val="en-US" w:eastAsia="zh-CN"/>
        </w:rPr>
      </w:pPr>
      <w:r>
        <w:rPr>
          <w:rFonts w:hint="default"/>
          <w:color w:val="auto"/>
          <w:lang w:val="en-US" w:eastAsia="zh-CN"/>
        </w:rPr>
        <w:t>2023年，本溪市固定资产投资比上年增长8.3%。其中，建设项目投资增长3.4%，房地产开发投资增长52.2%。分产业看第一产业投资比上年下降48.5%：第二产业投资下降1.4%；第三产业投资增长52.9%。</w:t>
      </w:r>
    </w:p>
    <w:p w14:paraId="0E5DAB10">
      <w:pPr>
        <w:bidi w:val="0"/>
        <w:rPr>
          <w:rFonts w:hint="default"/>
          <w:color w:val="auto"/>
          <w:lang w:val="en-US" w:eastAsia="zh-CN"/>
        </w:rPr>
      </w:pPr>
      <w:r>
        <w:rPr>
          <w:rFonts w:hint="default"/>
          <w:color w:val="auto"/>
          <w:lang w:val="en-US" w:eastAsia="zh-CN"/>
        </w:rPr>
        <w:t>2023年，本溪市一般公共预算收入80.1亿元，比上年增长8.3%。其中，各项税收54.1亿元，增长4.0%。一般公共预算支出171.8亿元，增长6.2%。其中，节能环保支出4.97亿元，增长109.9%；卫生健康支出11.1亿元，下降6%；教育支出17.2亿元，下降6.3%。全年税收收入94.2亿元，比上年增长6.8%。</w:t>
      </w:r>
    </w:p>
    <w:p w14:paraId="72DFC621">
      <w:pPr>
        <w:pStyle w:val="4"/>
        <w:bidi w:val="0"/>
        <w:rPr>
          <w:rFonts w:hint="eastAsia"/>
          <w:color w:val="auto"/>
          <w:lang w:val="en-US" w:eastAsia="zh-CN"/>
        </w:rPr>
      </w:pPr>
      <w:bookmarkStart w:id="27" w:name="_Toc5115"/>
      <w:r>
        <w:rPr>
          <w:rFonts w:hint="eastAsia"/>
          <w:color w:val="auto"/>
          <w:lang w:val="en-US" w:eastAsia="zh-CN"/>
        </w:rPr>
        <w:t>2.1.2 建筑垃圾现状</w:t>
      </w:r>
      <w:bookmarkEnd w:id="27"/>
    </w:p>
    <w:p w14:paraId="7220F22D">
      <w:pPr>
        <w:bidi w:val="0"/>
        <w:rPr>
          <w:rFonts w:hint="eastAsia"/>
          <w:b w:val="0"/>
          <w:bCs w:val="0"/>
          <w:color w:val="auto"/>
          <w:lang w:val="en-US" w:eastAsia="zh-CN"/>
        </w:rPr>
      </w:pPr>
      <w:r>
        <w:rPr>
          <w:rFonts w:hint="eastAsia" w:ascii="Times New Roman" w:eastAsia="宋体"/>
          <w:b w:val="0"/>
          <w:bCs w:val="0"/>
          <w:color w:val="auto"/>
          <w:lang w:val="en-US" w:eastAsia="zh-CN"/>
        </w:rPr>
        <w:t>（一）建筑垃圾近三年情况</w:t>
      </w:r>
    </w:p>
    <w:p w14:paraId="6947D057">
      <w:pPr>
        <w:kinsoku w:val="0"/>
        <w:autoSpaceDE w:val="0"/>
        <w:autoSpaceDN w:val="0"/>
        <w:adjustRightInd w:val="0"/>
        <w:snapToGrid w:val="0"/>
        <w:spacing w:line="360" w:lineRule="auto"/>
        <w:ind w:firstLine="560" w:firstLineChars="200"/>
        <w:jc w:val="left"/>
        <w:textAlignment w:val="baseline"/>
        <w:rPr>
          <w:rFonts w:hint="eastAsia" w:ascii="Times New Roman" w:hAnsi="Times New Roman" w:eastAsia="宋体" w:cs="Arial"/>
          <w:snapToGrid w:val="0"/>
          <w:color w:val="auto"/>
          <w:kern w:val="0"/>
          <w:sz w:val="28"/>
          <w:szCs w:val="21"/>
          <w:highlight w:val="none"/>
          <w:lang w:val="en-US" w:eastAsia="zh-CN"/>
        </w:rPr>
      </w:pPr>
      <w:r>
        <w:rPr>
          <w:rFonts w:hint="eastAsia" w:ascii="Times New Roman" w:hAnsi="Times New Roman" w:eastAsia="宋体" w:cs="Arial"/>
          <w:snapToGrid w:val="0"/>
          <w:color w:val="auto"/>
          <w:kern w:val="0"/>
          <w:sz w:val="28"/>
          <w:szCs w:val="21"/>
          <w:lang w:val="en-US" w:eastAsia="zh-CN"/>
        </w:rPr>
        <w:t>本溪市近3年建筑垃圾产量在过去几年里显著减少，从2021年的</w:t>
      </w:r>
      <w:r>
        <w:rPr>
          <w:rFonts w:hint="eastAsia" w:cs="Arial"/>
          <w:snapToGrid w:val="0"/>
          <w:color w:val="auto"/>
          <w:kern w:val="0"/>
          <w:sz w:val="28"/>
          <w:szCs w:val="21"/>
          <w:lang w:val="en-US" w:eastAsia="zh-CN"/>
        </w:rPr>
        <w:t>116.85</w:t>
      </w:r>
      <w:r>
        <w:rPr>
          <w:rFonts w:hint="eastAsia" w:ascii="Times New Roman" w:hAnsi="Times New Roman" w:eastAsia="宋体" w:cs="Arial"/>
          <w:snapToGrid w:val="0"/>
          <w:color w:val="auto"/>
          <w:kern w:val="0"/>
          <w:sz w:val="28"/>
          <w:szCs w:val="21"/>
          <w:lang w:val="en-US" w:eastAsia="zh-CN"/>
        </w:rPr>
        <w:t>万吨开始，这一数字在2022年下降至</w:t>
      </w:r>
      <w:r>
        <w:rPr>
          <w:rFonts w:hint="eastAsia" w:cs="Arial"/>
          <w:snapToGrid w:val="0"/>
          <w:color w:val="auto"/>
          <w:kern w:val="0"/>
          <w:sz w:val="28"/>
          <w:szCs w:val="21"/>
          <w:lang w:val="en-US" w:eastAsia="zh-CN"/>
        </w:rPr>
        <w:t>95.80</w:t>
      </w:r>
      <w:r>
        <w:rPr>
          <w:rFonts w:hint="eastAsia" w:ascii="Times New Roman" w:hAnsi="Times New Roman" w:eastAsia="宋体" w:cs="Arial"/>
          <w:snapToGrid w:val="0"/>
          <w:color w:val="auto"/>
          <w:kern w:val="0"/>
          <w:sz w:val="28"/>
          <w:szCs w:val="21"/>
          <w:lang w:val="en-US" w:eastAsia="zh-CN"/>
        </w:rPr>
        <w:t>万吨，减少了20多万吨。到了2023年，受建筑行业市场不景气的影响，建筑垃圾产生量持续减低，进一步减少至</w:t>
      </w:r>
      <w:r>
        <w:rPr>
          <w:rFonts w:hint="eastAsia" w:cs="Arial"/>
          <w:snapToGrid w:val="0"/>
          <w:color w:val="auto"/>
          <w:kern w:val="0"/>
          <w:sz w:val="28"/>
          <w:szCs w:val="21"/>
          <w:lang w:val="en-US" w:eastAsia="zh-CN"/>
        </w:rPr>
        <w:t>54.72</w:t>
      </w:r>
      <w:r>
        <w:rPr>
          <w:rFonts w:hint="eastAsia" w:ascii="Times New Roman" w:hAnsi="Times New Roman" w:eastAsia="宋体" w:cs="Arial"/>
          <w:snapToGrid w:val="0"/>
          <w:color w:val="auto"/>
          <w:kern w:val="0"/>
          <w:sz w:val="28"/>
          <w:szCs w:val="21"/>
          <w:lang w:val="en-US" w:eastAsia="zh-CN"/>
        </w:rPr>
        <w:t>万吨</w:t>
      </w:r>
      <w:r>
        <w:rPr>
          <w:rFonts w:hint="eastAsia" w:ascii="Times New Roman" w:hAnsi="Times New Roman" w:eastAsia="宋体" w:cs="Arial"/>
          <w:snapToGrid w:val="0"/>
          <w:color w:val="auto"/>
          <w:kern w:val="0"/>
          <w:sz w:val="28"/>
          <w:szCs w:val="21"/>
          <w:highlight w:val="none"/>
          <w:lang w:val="en-US" w:eastAsia="zh-CN"/>
        </w:rPr>
        <w:t>，相比202</w:t>
      </w:r>
      <w:r>
        <w:rPr>
          <w:rFonts w:hint="eastAsia" w:cs="Arial"/>
          <w:snapToGrid w:val="0"/>
          <w:color w:val="auto"/>
          <w:kern w:val="0"/>
          <w:sz w:val="28"/>
          <w:szCs w:val="21"/>
          <w:highlight w:val="none"/>
          <w:lang w:val="en-US" w:eastAsia="zh-CN"/>
        </w:rPr>
        <w:t>2</w:t>
      </w:r>
      <w:r>
        <w:rPr>
          <w:rFonts w:hint="eastAsia" w:ascii="Times New Roman" w:hAnsi="Times New Roman" w:eastAsia="宋体" w:cs="Arial"/>
          <w:snapToGrid w:val="0"/>
          <w:color w:val="auto"/>
          <w:kern w:val="0"/>
          <w:sz w:val="28"/>
          <w:szCs w:val="21"/>
          <w:highlight w:val="none"/>
          <w:lang w:val="en-US" w:eastAsia="zh-CN"/>
        </w:rPr>
        <w:t>年减少了近4</w:t>
      </w:r>
      <w:r>
        <w:rPr>
          <w:rFonts w:hint="eastAsia" w:cs="Arial"/>
          <w:snapToGrid w:val="0"/>
          <w:color w:val="auto"/>
          <w:kern w:val="0"/>
          <w:sz w:val="28"/>
          <w:szCs w:val="21"/>
          <w:highlight w:val="none"/>
          <w:lang w:val="en-US" w:eastAsia="zh-CN"/>
        </w:rPr>
        <w:t>2.88</w:t>
      </w:r>
      <w:r>
        <w:rPr>
          <w:rFonts w:hint="eastAsia" w:ascii="Times New Roman" w:hAnsi="Times New Roman" w:eastAsia="宋体" w:cs="Arial"/>
          <w:snapToGrid w:val="0"/>
          <w:color w:val="auto"/>
          <w:kern w:val="0"/>
          <w:sz w:val="28"/>
          <w:szCs w:val="21"/>
          <w:highlight w:val="none"/>
          <w:lang w:val="en-US" w:eastAsia="zh-CN"/>
        </w:rPr>
        <w:t>%。具体产量如表所示：</w:t>
      </w:r>
    </w:p>
    <w:p w14:paraId="4747F9E1">
      <w:pPr>
        <w:pStyle w:val="12"/>
        <w:ind w:left="0" w:leftChars="0" w:firstLine="0" w:firstLineChars="0"/>
        <w:jc w:val="center"/>
        <w:rPr>
          <w:rFonts w:hint="eastAsia"/>
          <w:color w:val="auto"/>
          <w:lang w:val="en-US" w:eastAsia="zh-CN"/>
        </w:rPr>
      </w:pPr>
      <w:r>
        <w:rPr>
          <w:rFonts w:hint="eastAsia" w:ascii="Times New Roman" w:hAnsi="Times New Roman" w:eastAsia="宋体" w:cs="Arial"/>
          <w:b/>
          <w:bCs/>
          <w:snapToGrid w:val="0"/>
          <w:color w:val="auto"/>
          <w:kern w:val="0"/>
          <w:sz w:val="24"/>
          <w:szCs w:val="21"/>
          <w:lang w:val="en-US" w:eastAsia="zh-CN"/>
        </w:rPr>
        <w:t>表2.1-1 建筑垃圾近三年</w:t>
      </w:r>
      <w:r>
        <w:rPr>
          <w:rFonts w:hint="eastAsia" w:cs="Arial"/>
          <w:b/>
          <w:bCs/>
          <w:snapToGrid w:val="0"/>
          <w:color w:val="auto"/>
          <w:kern w:val="0"/>
          <w:sz w:val="24"/>
          <w:szCs w:val="21"/>
          <w:lang w:val="en-US" w:eastAsia="zh-CN"/>
        </w:rPr>
        <w:t>产量</w:t>
      </w:r>
      <w:r>
        <w:rPr>
          <w:rFonts w:hint="eastAsia" w:ascii="Times New Roman" w:hAnsi="Times New Roman" w:eastAsia="宋体" w:cs="Arial"/>
          <w:b/>
          <w:bCs/>
          <w:snapToGrid w:val="0"/>
          <w:color w:val="auto"/>
          <w:kern w:val="0"/>
          <w:sz w:val="24"/>
          <w:szCs w:val="21"/>
          <w:lang w:val="en-US" w:eastAsia="zh-CN"/>
        </w:rPr>
        <w:t>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690"/>
        <w:gridCol w:w="1334"/>
        <w:gridCol w:w="1663"/>
        <w:gridCol w:w="1307"/>
        <w:gridCol w:w="1441"/>
        <w:gridCol w:w="2463"/>
      </w:tblGrid>
      <w:tr w14:paraId="7DEA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blHeader/>
        </w:trPr>
        <w:tc>
          <w:tcPr>
            <w:tcW w:w="271" w:type="pct"/>
            <w:vAlign w:val="center"/>
          </w:tcPr>
          <w:p w14:paraId="65BD7143">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序号</w:t>
            </w:r>
          </w:p>
        </w:tc>
        <w:tc>
          <w:tcPr>
            <w:tcW w:w="807" w:type="pct"/>
            <w:vAlign w:val="center"/>
          </w:tcPr>
          <w:p w14:paraId="72E8ECFA">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年份</w:t>
            </w:r>
          </w:p>
        </w:tc>
        <w:tc>
          <w:tcPr>
            <w:tcW w:w="637" w:type="pct"/>
            <w:vAlign w:val="center"/>
          </w:tcPr>
          <w:p w14:paraId="2B37557F">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工程渣土（万吨）</w:t>
            </w:r>
          </w:p>
        </w:tc>
        <w:tc>
          <w:tcPr>
            <w:tcW w:w="794" w:type="pct"/>
            <w:vAlign w:val="center"/>
          </w:tcPr>
          <w:p w14:paraId="5A0CF259">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拆除垃圾（万吨）</w:t>
            </w:r>
          </w:p>
        </w:tc>
        <w:tc>
          <w:tcPr>
            <w:tcW w:w="624" w:type="pct"/>
            <w:vAlign w:val="center"/>
          </w:tcPr>
          <w:p w14:paraId="5006F680">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工程垃圾（万吨）</w:t>
            </w:r>
          </w:p>
        </w:tc>
        <w:tc>
          <w:tcPr>
            <w:tcW w:w="688" w:type="pct"/>
            <w:vAlign w:val="center"/>
          </w:tcPr>
          <w:p w14:paraId="390CBCA1">
            <w:pPr>
              <w:widowControl w:val="0"/>
              <w:bidi w:val="0"/>
              <w:ind w:left="0" w:leftChars="0" w:firstLine="0" w:firstLineChars="0"/>
              <w:jc w:val="center"/>
              <w:rPr>
                <w:rFonts w:hint="eastAsia"/>
                <w:color w:val="auto"/>
                <w:sz w:val="24"/>
                <w:szCs w:val="20"/>
                <w:vertAlign w:val="baseline"/>
                <w:lang w:val="en-US" w:eastAsia="zh-CN"/>
              </w:rPr>
            </w:pPr>
            <w:r>
              <w:rPr>
                <w:rFonts w:hint="eastAsia" w:ascii="Times New Roman" w:eastAsia="宋体"/>
                <w:color w:val="auto"/>
                <w:sz w:val="24"/>
                <w:szCs w:val="20"/>
                <w:vertAlign w:val="baseline"/>
                <w:lang w:val="en-US" w:eastAsia="zh-CN"/>
              </w:rPr>
              <w:t>装修垃圾</w:t>
            </w:r>
          </w:p>
          <w:p w14:paraId="2E1B0250">
            <w:pPr>
              <w:widowControl w:val="0"/>
              <w:bidi w:val="0"/>
              <w:ind w:left="0" w:leftChars="0" w:firstLine="0" w:firstLineChars="0"/>
              <w:jc w:val="center"/>
              <w:rPr>
                <w:rFonts w:hint="eastAsia"/>
                <w:color w:val="auto"/>
                <w:sz w:val="24"/>
                <w:szCs w:val="20"/>
                <w:vertAlign w:val="baseline"/>
                <w:lang w:val="en-US" w:eastAsia="zh-CN"/>
              </w:rPr>
            </w:pPr>
            <w:r>
              <w:rPr>
                <w:rFonts w:hint="eastAsia" w:ascii="Times New Roman" w:eastAsia="宋体"/>
                <w:color w:val="auto"/>
                <w:sz w:val="24"/>
                <w:szCs w:val="20"/>
                <w:vertAlign w:val="baseline"/>
                <w:lang w:val="en-US" w:eastAsia="zh-CN"/>
              </w:rPr>
              <w:t>（万吨）</w:t>
            </w:r>
          </w:p>
        </w:tc>
        <w:tc>
          <w:tcPr>
            <w:tcW w:w="1176" w:type="pct"/>
            <w:vAlign w:val="center"/>
          </w:tcPr>
          <w:p w14:paraId="7FDB7786">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ascii="Times New Roman" w:eastAsia="宋体"/>
                <w:color w:val="auto"/>
                <w:sz w:val="24"/>
                <w:szCs w:val="20"/>
                <w:vertAlign w:val="baseline"/>
                <w:lang w:val="en-US" w:eastAsia="zh-CN"/>
              </w:rPr>
              <w:t>合计（万吨）</w:t>
            </w:r>
          </w:p>
        </w:tc>
      </w:tr>
      <w:tr w14:paraId="57EB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1" w:type="pct"/>
            <w:vAlign w:val="center"/>
          </w:tcPr>
          <w:p w14:paraId="14F862CC">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1</w:t>
            </w:r>
          </w:p>
        </w:tc>
        <w:tc>
          <w:tcPr>
            <w:tcW w:w="807" w:type="pct"/>
            <w:vAlign w:val="center"/>
          </w:tcPr>
          <w:p w14:paraId="18BD4D0C">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2021</w:t>
            </w:r>
          </w:p>
        </w:tc>
        <w:tc>
          <w:tcPr>
            <w:tcW w:w="637" w:type="pct"/>
            <w:shd w:val="clear" w:color="auto" w:fill="auto"/>
            <w:vAlign w:val="center"/>
          </w:tcPr>
          <w:p w14:paraId="5BFCF16B">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90.03</w:t>
            </w:r>
          </w:p>
        </w:tc>
        <w:tc>
          <w:tcPr>
            <w:tcW w:w="794" w:type="pct"/>
            <w:vAlign w:val="center"/>
          </w:tcPr>
          <w:p w14:paraId="5422F34D">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11.6</w:t>
            </w:r>
          </w:p>
        </w:tc>
        <w:tc>
          <w:tcPr>
            <w:tcW w:w="624" w:type="pct"/>
            <w:vAlign w:val="center"/>
          </w:tcPr>
          <w:p w14:paraId="79566052">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1.31</w:t>
            </w:r>
          </w:p>
        </w:tc>
        <w:tc>
          <w:tcPr>
            <w:tcW w:w="688" w:type="pct"/>
            <w:vAlign w:val="center"/>
          </w:tcPr>
          <w:p w14:paraId="0A54B794">
            <w:pPr>
              <w:widowControl w:val="0"/>
              <w:bidi w:val="0"/>
              <w:ind w:left="0" w:leftChars="0" w:firstLine="0" w:firstLineChars="0"/>
              <w:jc w:val="center"/>
              <w:rPr>
                <w:rFonts w:hint="default"/>
                <w:color w:val="auto"/>
                <w:lang w:val="en-US" w:eastAsia="zh-CN"/>
              </w:rPr>
            </w:pPr>
            <w:r>
              <w:rPr>
                <w:rFonts w:hint="eastAsia"/>
                <w:color w:val="auto"/>
                <w:sz w:val="24"/>
                <w:szCs w:val="20"/>
                <w:vertAlign w:val="baseline"/>
                <w:lang w:val="en-US" w:eastAsia="zh-CN"/>
              </w:rPr>
              <w:t>13.91</w:t>
            </w:r>
          </w:p>
        </w:tc>
        <w:tc>
          <w:tcPr>
            <w:tcW w:w="1176" w:type="pct"/>
            <w:vAlign w:val="center"/>
          </w:tcPr>
          <w:p w14:paraId="53FD5A3D">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116.85</w:t>
            </w:r>
          </w:p>
        </w:tc>
      </w:tr>
      <w:tr w14:paraId="7F33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1" w:type="pct"/>
            <w:vAlign w:val="center"/>
          </w:tcPr>
          <w:p w14:paraId="29DE7BC2">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2</w:t>
            </w:r>
          </w:p>
        </w:tc>
        <w:tc>
          <w:tcPr>
            <w:tcW w:w="807" w:type="pct"/>
            <w:vAlign w:val="center"/>
          </w:tcPr>
          <w:p w14:paraId="696A4922">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2022</w:t>
            </w:r>
          </w:p>
        </w:tc>
        <w:tc>
          <w:tcPr>
            <w:tcW w:w="637" w:type="pct"/>
            <w:shd w:val="clear" w:color="auto" w:fill="auto"/>
            <w:vAlign w:val="center"/>
          </w:tcPr>
          <w:p w14:paraId="18011945">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62.67</w:t>
            </w:r>
          </w:p>
        </w:tc>
        <w:tc>
          <w:tcPr>
            <w:tcW w:w="794" w:type="pct"/>
            <w:vAlign w:val="center"/>
          </w:tcPr>
          <w:p w14:paraId="0278D0E4">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20.6</w:t>
            </w:r>
          </w:p>
        </w:tc>
        <w:tc>
          <w:tcPr>
            <w:tcW w:w="624" w:type="pct"/>
            <w:vAlign w:val="center"/>
          </w:tcPr>
          <w:p w14:paraId="55CA5D27">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2.51</w:t>
            </w:r>
          </w:p>
        </w:tc>
        <w:tc>
          <w:tcPr>
            <w:tcW w:w="688" w:type="pct"/>
            <w:vAlign w:val="center"/>
          </w:tcPr>
          <w:p w14:paraId="1FFA791D">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10.02</w:t>
            </w:r>
          </w:p>
        </w:tc>
        <w:tc>
          <w:tcPr>
            <w:tcW w:w="1176" w:type="pct"/>
            <w:vAlign w:val="center"/>
          </w:tcPr>
          <w:p w14:paraId="09A94FDC">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95.80</w:t>
            </w:r>
          </w:p>
        </w:tc>
      </w:tr>
      <w:tr w14:paraId="7AA2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1" w:type="pct"/>
            <w:vAlign w:val="center"/>
          </w:tcPr>
          <w:p w14:paraId="2C4E002F">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3</w:t>
            </w:r>
          </w:p>
        </w:tc>
        <w:tc>
          <w:tcPr>
            <w:tcW w:w="807" w:type="pct"/>
            <w:vAlign w:val="center"/>
          </w:tcPr>
          <w:p w14:paraId="28B49D93">
            <w:pPr>
              <w:widowControl w:val="0"/>
              <w:bidi w:val="0"/>
              <w:ind w:left="0" w:leftChars="0" w:firstLine="0" w:firstLineChars="0"/>
              <w:jc w:val="center"/>
              <w:rPr>
                <w:rFonts w:hint="default"/>
                <w:color w:val="auto"/>
                <w:sz w:val="24"/>
                <w:szCs w:val="20"/>
                <w:vertAlign w:val="baseline"/>
                <w:lang w:val="en-US" w:eastAsia="zh-CN"/>
              </w:rPr>
            </w:pPr>
            <w:r>
              <w:rPr>
                <w:rFonts w:hint="eastAsia" w:ascii="Times New Roman" w:eastAsia="宋体"/>
                <w:color w:val="auto"/>
                <w:sz w:val="24"/>
                <w:szCs w:val="20"/>
                <w:vertAlign w:val="baseline"/>
                <w:lang w:val="en-US" w:eastAsia="zh-CN"/>
              </w:rPr>
              <w:t>202</w:t>
            </w:r>
            <w:r>
              <w:rPr>
                <w:rFonts w:hint="eastAsia"/>
                <w:color w:val="auto"/>
                <w:sz w:val="24"/>
                <w:szCs w:val="20"/>
                <w:vertAlign w:val="baseline"/>
                <w:lang w:val="en-US" w:eastAsia="zh-CN"/>
              </w:rPr>
              <w:t>3</w:t>
            </w:r>
          </w:p>
        </w:tc>
        <w:tc>
          <w:tcPr>
            <w:tcW w:w="637" w:type="pct"/>
            <w:shd w:val="clear" w:color="auto" w:fill="auto"/>
            <w:vAlign w:val="center"/>
          </w:tcPr>
          <w:p w14:paraId="26B34C1C">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21.84</w:t>
            </w:r>
          </w:p>
        </w:tc>
        <w:tc>
          <w:tcPr>
            <w:tcW w:w="794" w:type="pct"/>
            <w:vAlign w:val="center"/>
          </w:tcPr>
          <w:p w14:paraId="7972E5B7">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20.3</w:t>
            </w:r>
          </w:p>
        </w:tc>
        <w:tc>
          <w:tcPr>
            <w:tcW w:w="624" w:type="pct"/>
            <w:vAlign w:val="center"/>
          </w:tcPr>
          <w:p w14:paraId="361D573A">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2.56</w:t>
            </w:r>
          </w:p>
        </w:tc>
        <w:tc>
          <w:tcPr>
            <w:tcW w:w="688" w:type="pct"/>
            <w:vAlign w:val="center"/>
          </w:tcPr>
          <w:p w14:paraId="3FA025BD">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10.02</w:t>
            </w:r>
          </w:p>
        </w:tc>
        <w:tc>
          <w:tcPr>
            <w:tcW w:w="1176" w:type="pct"/>
            <w:vAlign w:val="center"/>
          </w:tcPr>
          <w:p w14:paraId="29F50102">
            <w:pPr>
              <w:widowControl w:val="0"/>
              <w:bidi w:val="0"/>
              <w:ind w:left="0" w:leftChars="0" w:firstLine="0" w:firstLineChars="0"/>
              <w:jc w:val="center"/>
              <w:rPr>
                <w:rFonts w:hint="default" w:ascii="Times New Roman" w:eastAsia="宋体"/>
                <w:color w:val="auto"/>
                <w:sz w:val="24"/>
                <w:szCs w:val="20"/>
                <w:vertAlign w:val="baseline"/>
                <w:lang w:val="en-US" w:eastAsia="zh-CN"/>
              </w:rPr>
            </w:pPr>
            <w:r>
              <w:rPr>
                <w:rFonts w:hint="eastAsia"/>
                <w:color w:val="auto"/>
                <w:sz w:val="24"/>
                <w:szCs w:val="20"/>
                <w:vertAlign w:val="baseline"/>
                <w:lang w:val="en-US" w:eastAsia="zh-CN"/>
              </w:rPr>
              <w:t>54.72</w:t>
            </w:r>
          </w:p>
        </w:tc>
      </w:tr>
    </w:tbl>
    <w:p w14:paraId="71BDD05A">
      <w:pPr>
        <w:bidi w:val="0"/>
        <w:rPr>
          <w:rFonts w:hint="eastAsia"/>
          <w:b w:val="0"/>
          <w:bCs w:val="0"/>
          <w:color w:val="auto"/>
          <w:lang w:val="en-US" w:eastAsia="zh-CN"/>
        </w:rPr>
      </w:pPr>
    </w:p>
    <w:p w14:paraId="11250E94">
      <w:pPr>
        <w:bidi w:val="0"/>
        <w:rPr>
          <w:rFonts w:hint="eastAsia"/>
          <w:b w:val="0"/>
          <w:bCs w:val="0"/>
          <w:color w:val="auto"/>
          <w:lang w:val="en-US" w:eastAsia="zh-CN"/>
        </w:rPr>
      </w:pPr>
      <w:r>
        <w:rPr>
          <w:rFonts w:hint="eastAsia"/>
          <w:b w:val="0"/>
          <w:bCs w:val="0"/>
          <w:color w:val="auto"/>
          <w:lang w:val="en-US" w:eastAsia="zh-CN"/>
        </w:rPr>
        <w:t>（二）建筑垃圾积存现状</w:t>
      </w:r>
    </w:p>
    <w:p w14:paraId="28C1C2C3">
      <w:pPr>
        <w:bidi w:val="0"/>
        <w:rPr>
          <w:rFonts w:hint="default"/>
          <w:color w:val="auto"/>
          <w:highlight w:val="none"/>
          <w:lang w:val="en-US" w:eastAsia="zh-CN"/>
        </w:rPr>
      </w:pPr>
      <w:r>
        <w:rPr>
          <w:rFonts w:hint="eastAsia"/>
          <w:color w:val="auto"/>
          <w:highlight w:val="none"/>
          <w:lang w:val="en-US" w:eastAsia="zh-CN"/>
        </w:rPr>
        <w:t>本溪市建筑垃圾分为工程渣土、工程泥浆、工程垃圾、拆除垃圾和装修垃圾五类，现状建筑垃圾主要堆放在彩北建筑垃圾填埋场及7处存量点位。</w:t>
      </w:r>
    </w:p>
    <w:p w14:paraId="63F7ACA6">
      <w:pPr>
        <w:bidi w:val="0"/>
        <w:rPr>
          <w:rFonts w:hint="default"/>
          <w:color w:val="auto"/>
          <w:lang w:val="en-US" w:eastAsia="zh-CN"/>
        </w:rPr>
      </w:pPr>
      <w:r>
        <w:rPr>
          <w:rFonts w:hint="eastAsia"/>
          <w:color w:val="auto"/>
          <w:lang w:val="en-US" w:eastAsia="zh-CN"/>
        </w:rPr>
        <w:t>（三）建筑垃圾转运处理设施现状</w:t>
      </w:r>
    </w:p>
    <w:p w14:paraId="1B253D03">
      <w:pPr>
        <w:bidi w:val="0"/>
        <w:rPr>
          <w:rFonts w:hint="eastAsia"/>
          <w:color w:val="auto"/>
          <w:lang w:val="en-US" w:eastAsia="zh-CN"/>
        </w:rPr>
      </w:pPr>
      <w:r>
        <w:rPr>
          <w:rFonts w:hint="eastAsia"/>
          <w:color w:val="auto"/>
          <w:lang w:val="en-US" w:eastAsia="zh-CN"/>
        </w:rPr>
        <w:t>本溪市现有建筑垃圾填埋场一处（彩北填埋场），位于彩北岭。设计库容109万</w:t>
      </w:r>
      <w:r>
        <w:rPr>
          <w:rFonts w:hint="eastAsia" w:ascii="Times New Roman" w:eastAsia="宋体"/>
          <w:color w:val="auto"/>
          <w:lang w:val="en-US" w:eastAsia="zh-CN"/>
        </w:rPr>
        <w:t>m</w:t>
      </w:r>
      <w:r>
        <w:rPr>
          <w:rFonts w:hint="eastAsia" w:ascii="Times New Roman" w:eastAsia="宋体"/>
          <w:color w:val="auto"/>
          <w:vertAlign w:val="superscript"/>
          <w:lang w:val="en-US" w:eastAsia="zh-CN"/>
        </w:rPr>
        <w:t>3</w:t>
      </w:r>
      <w:r>
        <w:rPr>
          <w:rFonts w:hint="eastAsia"/>
          <w:color w:val="auto"/>
          <w:lang w:val="en-US" w:eastAsia="zh-CN"/>
        </w:rPr>
        <w:t>，占地7.2万m</w:t>
      </w:r>
      <w:r>
        <w:rPr>
          <w:rFonts w:hint="eastAsia"/>
          <w:color w:val="auto"/>
          <w:vertAlign w:val="superscript"/>
          <w:lang w:val="en-US" w:eastAsia="zh-CN"/>
        </w:rPr>
        <w:t>2</w:t>
      </w:r>
      <w:r>
        <w:rPr>
          <w:rFonts w:hint="eastAsia"/>
          <w:color w:val="auto"/>
          <w:lang w:val="en-US" w:eastAsia="zh-CN"/>
        </w:rPr>
        <w:t>。1988年投入运行，自运行以来已有30余年，目前剩余库容填埋工程填埋区域位于填埋场内东南侧，面积约1.5万m</w:t>
      </w:r>
      <w:r>
        <w:rPr>
          <w:rFonts w:hint="eastAsia"/>
          <w:color w:val="auto"/>
          <w:vertAlign w:val="superscript"/>
          <w:lang w:val="en-US" w:eastAsia="zh-CN"/>
        </w:rPr>
        <w:t>2</w:t>
      </w:r>
      <w:r>
        <w:rPr>
          <w:rFonts w:hint="eastAsia"/>
          <w:color w:val="auto"/>
          <w:lang w:val="en-US" w:eastAsia="zh-CN"/>
        </w:rPr>
        <w:t>，填埋高度约20m，剩余库容约30万m</w:t>
      </w:r>
      <w:r>
        <w:rPr>
          <w:rFonts w:hint="eastAsia"/>
          <w:color w:val="auto"/>
          <w:vertAlign w:val="superscript"/>
          <w:lang w:val="en-US" w:eastAsia="zh-CN"/>
        </w:rPr>
        <w:t>3</w:t>
      </w:r>
      <w:r>
        <w:rPr>
          <w:rFonts w:hint="eastAsia"/>
          <w:color w:val="auto"/>
          <w:lang w:val="en-US" w:eastAsia="zh-CN"/>
        </w:rPr>
        <w:t>，剩余库容使用年限约为4.5年。按照国家鼓励建筑垃圾资源化利用的相关要求，正在积极引入社会资本，推进建筑垃圾资源化综合利用工程项目尽快实施。</w:t>
      </w:r>
    </w:p>
    <w:p w14:paraId="090F7F72">
      <w:pPr>
        <w:bidi w:val="0"/>
        <w:rPr>
          <w:rFonts w:hint="eastAsia"/>
          <w:color w:val="auto"/>
          <w:lang w:val="en-US" w:eastAsia="zh-CN"/>
        </w:rPr>
      </w:pPr>
      <w:r>
        <w:rPr>
          <w:rFonts w:hint="eastAsia"/>
          <w:color w:val="auto"/>
          <w:lang w:val="en-US" w:eastAsia="zh-CN"/>
        </w:rPr>
        <w:t>（四）建筑垃圾核准备案处理现状</w:t>
      </w:r>
    </w:p>
    <w:p w14:paraId="28F999A9">
      <w:pPr>
        <w:bidi w:val="0"/>
        <w:rPr>
          <w:rFonts w:hint="eastAsia"/>
          <w:color w:val="auto"/>
          <w:highlight w:val="none"/>
          <w:lang w:val="en-US" w:eastAsia="zh-CN"/>
        </w:rPr>
      </w:pPr>
      <w:r>
        <w:rPr>
          <w:rFonts w:hint="eastAsia"/>
          <w:color w:val="auto"/>
          <w:highlight w:val="none"/>
          <w:lang w:val="en-US" w:eastAsia="zh-CN"/>
        </w:rPr>
        <w:t>2024至2025年共计发放施工许可171个，其中明山区共发放58个施工许可证，备案8个，核准2个；溪湖区共发放39个施工许可证，备案10个，核准22个；平山区共发放39个施工许可证，备案8个，核准2个；南芬区共发放24个施工许可证，备案24个，核准24个；高新区共发放11个施工许可证，备案2个，核准2个。</w:t>
      </w:r>
    </w:p>
    <w:p w14:paraId="18BA36F9">
      <w:pPr>
        <w:bidi w:val="0"/>
        <w:rPr>
          <w:rFonts w:hint="eastAsia"/>
          <w:color w:val="auto"/>
          <w:lang w:val="en-US" w:eastAsia="zh-CN"/>
        </w:rPr>
      </w:pPr>
      <w:r>
        <w:rPr>
          <w:rFonts w:hint="eastAsia"/>
          <w:color w:val="auto"/>
          <w:lang w:val="en-US" w:eastAsia="zh-CN"/>
        </w:rPr>
        <w:t>（五）法规政策编制情况</w:t>
      </w:r>
    </w:p>
    <w:p w14:paraId="752E8CF5">
      <w:pPr>
        <w:bidi w:val="0"/>
        <w:rPr>
          <w:rFonts w:hint="default"/>
          <w:color w:val="auto"/>
          <w:highlight w:val="none"/>
          <w:lang w:val="en-US" w:eastAsia="zh-CN"/>
        </w:rPr>
      </w:pPr>
      <w:r>
        <w:rPr>
          <w:rFonts w:hint="eastAsia"/>
          <w:color w:val="auto"/>
          <w:highlight w:val="none"/>
          <w:lang w:val="en-US" w:eastAsia="zh-CN"/>
        </w:rPr>
        <w:t>本溪市正在编制《本溪市建筑垃圾管理办法》。</w:t>
      </w:r>
    </w:p>
    <w:p w14:paraId="3C0CC00B">
      <w:pPr>
        <w:pStyle w:val="4"/>
        <w:bidi w:val="0"/>
        <w:rPr>
          <w:rFonts w:hint="eastAsia"/>
          <w:color w:val="auto"/>
          <w:lang w:val="en-US" w:eastAsia="zh-CN"/>
        </w:rPr>
      </w:pPr>
      <w:bookmarkStart w:id="28" w:name="_Toc961"/>
      <w:r>
        <w:rPr>
          <w:rFonts w:hint="eastAsia"/>
          <w:color w:val="auto"/>
          <w:lang w:val="en-US" w:eastAsia="zh-CN"/>
        </w:rPr>
        <w:t>2.1.3 建筑垃圾存在问题分析</w:t>
      </w:r>
      <w:bookmarkEnd w:id="28"/>
    </w:p>
    <w:p w14:paraId="69C89F41">
      <w:pPr>
        <w:bidi w:val="0"/>
        <w:rPr>
          <w:rFonts w:hint="default"/>
          <w:color w:val="auto"/>
          <w:lang w:val="en-US" w:eastAsia="zh-CN"/>
        </w:rPr>
      </w:pPr>
      <w:r>
        <w:rPr>
          <w:rFonts w:hint="default"/>
          <w:color w:val="auto"/>
          <w:lang w:val="en-US" w:eastAsia="zh-CN"/>
        </w:rPr>
        <w:t>随着经济高质量发展进程不断加快，城市</w:t>
      </w:r>
      <w:r>
        <w:rPr>
          <w:rFonts w:hint="eastAsia"/>
          <w:color w:val="auto"/>
          <w:lang w:val="en-US" w:eastAsia="zh-CN"/>
        </w:rPr>
        <w:t>“</w:t>
      </w:r>
      <w:r>
        <w:rPr>
          <w:rFonts w:hint="default"/>
          <w:color w:val="auto"/>
          <w:lang w:val="en-US" w:eastAsia="zh-CN"/>
        </w:rPr>
        <w:t>新陈代谢</w:t>
      </w:r>
      <w:r>
        <w:rPr>
          <w:rFonts w:hint="eastAsia"/>
          <w:color w:val="auto"/>
          <w:lang w:val="en-US" w:eastAsia="zh-CN"/>
        </w:rPr>
        <w:t>”</w:t>
      </w:r>
      <w:r>
        <w:rPr>
          <w:rFonts w:hint="default"/>
          <w:color w:val="auto"/>
          <w:lang w:val="en-US" w:eastAsia="zh-CN"/>
        </w:rPr>
        <w:t>速度持续增高，建筑垃圾大量产生。根据中国环联公布数据，2023年我国建筑垃圾占城市垃圾总量的40%以上，建筑垃圾年产生量超过30亿吨，预计2025年将达到40亿吨，建筑垃圾成为</w:t>
      </w:r>
      <w:r>
        <w:rPr>
          <w:rFonts w:hint="eastAsia"/>
          <w:color w:val="auto"/>
          <w:lang w:val="en-US" w:eastAsia="zh-CN"/>
        </w:rPr>
        <w:t>“</w:t>
      </w:r>
      <w:r>
        <w:rPr>
          <w:rFonts w:hint="default"/>
          <w:color w:val="auto"/>
          <w:lang w:val="en-US" w:eastAsia="zh-CN"/>
        </w:rPr>
        <w:t>垃圾围城</w:t>
      </w:r>
      <w:r>
        <w:rPr>
          <w:rFonts w:hint="eastAsia"/>
          <w:color w:val="auto"/>
          <w:lang w:val="en-US" w:eastAsia="zh-CN"/>
        </w:rPr>
        <w:t>”</w:t>
      </w:r>
      <w:r>
        <w:rPr>
          <w:rFonts w:hint="default"/>
          <w:color w:val="auto"/>
          <w:lang w:val="en-US" w:eastAsia="zh-CN"/>
        </w:rPr>
        <w:t>主要源头。建筑垃圾分类、运输、综合利用及消纳等过程中存在问题日益突出。</w:t>
      </w:r>
    </w:p>
    <w:p w14:paraId="48BBBF6B">
      <w:pPr>
        <w:bidi w:val="0"/>
        <w:rPr>
          <w:rFonts w:hint="default"/>
          <w:color w:val="auto"/>
          <w:lang w:val="en-US" w:eastAsia="zh-CN"/>
        </w:rPr>
      </w:pPr>
      <w:r>
        <w:rPr>
          <w:rFonts w:hint="default"/>
          <w:b/>
          <w:bCs/>
          <w:color w:val="auto"/>
          <w:lang w:val="en-US" w:eastAsia="zh-CN"/>
        </w:rPr>
        <w:t>建筑垃圾管理体制机制不够完善。</w:t>
      </w:r>
      <w:r>
        <w:rPr>
          <w:rFonts w:hint="default"/>
          <w:color w:val="auto"/>
          <w:lang w:val="en-US" w:eastAsia="zh-CN"/>
        </w:rPr>
        <w:t>建筑垃圾相关法律法规、管理机制、奖惩制度等还不健全</w:t>
      </w:r>
      <w:r>
        <w:rPr>
          <w:rFonts w:hint="eastAsia"/>
          <w:color w:val="auto"/>
          <w:lang w:val="en-US" w:eastAsia="zh-CN"/>
        </w:rPr>
        <w:t>。</w:t>
      </w:r>
      <w:r>
        <w:rPr>
          <w:rFonts w:hint="default"/>
          <w:color w:val="auto"/>
          <w:highlight w:val="none"/>
          <w:lang w:val="en-US" w:eastAsia="zh-CN"/>
        </w:rPr>
        <w:t>缺乏系统性全过程管理机制的情况，这在一定程度上影响了属地与综合执法部门的监管效能。从收集、运输到处置环节，均存在管理上的薄弱之处，导致</w:t>
      </w:r>
      <w:r>
        <w:rPr>
          <w:rFonts w:hint="eastAsia"/>
          <w:color w:val="auto"/>
          <w:highlight w:val="none"/>
          <w:lang w:val="en-US" w:eastAsia="zh-CN"/>
        </w:rPr>
        <w:t>有部分</w:t>
      </w:r>
      <w:r>
        <w:rPr>
          <w:rFonts w:hint="default"/>
          <w:color w:val="auto"/>
          <w:highlight w:val="none"/>
          <w:lang w:val="en-US" w:eastAsia="zh-CN"/>
        </w:rPr>
        <w:t>的建筑垃圾未能进入正规处置渠道，违法倾倒问题也成为长期困扰的治理难点。</w:t>
      </w:r>
    </w:p>
    <w:p w14:paraId="15B227FD">
      <w:pPr>
        <w:bidi w:val="0"/>
        <w:rPr>
          <w:rFonts w:hint="default"/>
          <w:b w:val="0"/>
          <w:bCs w:val="0"/>
          <w:color w:val="auto"/>
          <w:lang w:val="en-US" w:eastAsia="zh-CN"/>
        </w:rPr>
      </w:pPr>
      <w:r>
        <w:rPr>
          <w:rFonts w:hint="default"/>
          <w:b/>
          <w:bCs/>
          <w:color w:val="auto"/>
          <w:lang w:val="en-US" w:eastAsia="zh-CN"/>
        </w:rPr>
        <w:t>建筑垃圾配套设施不完善。</w:t>
      </w:r>
      <w:r>
        <w:rPr>
          <w:rFonts w:hint="default"/>
          <w:b w:val="0"/>
          <w:bCs w:val="0"/>
          <w:color w:val="auto"/>
          <w:lang w:val="en-US" w:eastAsia="zh-CN"/>
        </w:rPr>
        <w:t>由于目前尚未有固定的建筑垃圾</w:t>
      </w:r>
      <w:r>
        <w:rPr>
          <w:rFonts w:hint="eastAsia"/>
          <w:b w:val="0"/>
          <w:bCs w:val="0"/>
          <w:color w:val="auto"/>
          <w:lang w:val="en-US" w:eastAsia="zh-CN"/>
        </w:rPr>
        <w:t>资源化</w:t>
      </w:r>
      <w:r>
        <w:rPr>
          <w:rFonts w:hint="default"/>
          <w:b w:val="0"/>
          <w:bCs w:val="0"/>
          <w:color w:val="auto"/>
          <w:lang w:val="en-US" w:eastAsia="zh-CN"/>
        </w:rPr>
        <w:t>场地，</w:t>
      </w:r>
      <w:r>
        <w:rPr>
          <w:rFonts w:hint="eastAsia"/>
          <w:b w:val="0"/>
          <w:bCs w:val="0"/>
          <w:color w:val="auto"/>
          <w:lang w:val="en-US" w:eastAsia="zh-CN"/>
        </w:rPr>
        <w:t>本溪市</w:t>
      </w:r>
      <w:r>
        <w:rPr>
          <w:rFonts w:hint="default"/>
          <w:b w:val="0"/>
          <w:bCs w:val="0"/>
          <w:color w:val="auto"/>
          <w:lang w:val="en-US" w:eastAsia="zh-CN"/>
        </w:rPr>
        <w:t>建筑垃圾</w:t>
      </w:r>
      <w:r>
        <w:rPr>
          <w:rFonts w:hint="eastAsia"/>
          <w:b w:val="0"/>
          <w:bCs w:val="0"/>
          <w:color w:val="auto"/>
          <w:lang w:val="en-US" w:eastAsia="zh-CN"/>
        </w:rPr>
        <w:t>扔</w:t>
      </w:r>
      <w:r>
        <w:rPr>
          <w:rFonts w:hint="default"/>
          <w:b w:val="0"/>
          <w:bCs w:val="0"/>
          <w:color w:val="auto"/>
          <w:lang w:val="en-US" w:eastAsia="zh-CN"/>
        </w:rPr>
        <w:t>运往</w:t>
      </w:r>
      <w:r>
        <w:rPr>
          <w:rFonts w:hint="eastAsia"/>
          <w:b w:val="0"/>
          <w:bCs w:val="0"/>
          <w:color w:val="auto"/>
          <w:lang w:val="en-US" w:eastAsia="zh-CN"/>
        </w:rPr>
        <w:t>彩北</w:t>
      </w:r>
      <w:r>
        <w:rPr>
          <w:rFonts w:hint="default"/>
          <w:b w:val="0"/>
          <w:bCs w:val="0"/>
          <w:color w:val="auto"/>
          <w:lang w:val="en-US" w:eastAsia="zh-CN"/>
        </w:rPr>
        <w:t>建筑垃圾</w:t>
      </w:r>
      <w:r>
        <w:rPr>
          <w:rFonts w:hint="eastAsia"/>
          <w:b w:val="0"/>
          <w:bCs w:val="0"/>
          <w:color w:val="auto"/>
          <w:lang w:val="en-US" w:eastAsia="zh-CN"/>
        </w:rPr>
        <w:t>填埋场</w:t>
      </w:r>
      <w:r>
        <w:rPr>
          <w:rFonts w:hint="default"/>
          <w:b w:val="0"/>
          <w:bCs w:val="0"/>
          <w:color w:val="auto"/>
          <w:lang w:val="en-US" w:eastAsia="zh-CN"/>
        </w:rPr>
        <w:t>处理</w:t>
      </w:r>
      <w:r>
        <w:rPr>
          <w:rFonts w:hint="eastAsia"/>
          <w:b w:val="0"/>
          <w:bCs w:val="0"/>
          <w:color w:val="auto"/>
          <w:lang w:val="en-US" w:eastAsia="zh-CN"/>
        </w:rPr>
        <w:t>。</w:t>
      </w:r>
    </w:p>
    <w:p w14:paraId="23DABAA1">
      <w:pPr>
        <w:bidi w:val="0"/>
        <w:rPr>
          <w:rFonts w:hint="default"/>
          <w:b w:val="0"/>
          <w:bCs w:val="0"/>
          <w:color w:val="auto"/>
          <w:lang w:val="en-US" w:eastAsia="zh-CN"/>
        </w:rPr>
      </w:pPr>
      <w:r>
        <w:rPr>
          <w:rFonts w:hint="default"/>
          <w:b w:val="0"/>
          <w:bCs w:val="0"/>
          <w:color w:val="auto"/>
          <w:lang w:val="en-US" w:eastAsia="zh-CN"/>
        </w:rPr>
        <w:t>对建筑垃圾的治理，资源化利用应是一个重要的途径，但由于建筑垃圾消纳处置和资源化利用较难，目前的治理方式以</w:t>
      </w:r>
      <w:r>
        <w:rPr>
          <w:rFonts w:hint="eastAsia"/>
          <w:b w:val="0"/>
          <w:bCs w:val="0"/>
          <w:color w:val="auto"/>
          <w:lang w:val="en-US" w:eastAsia="zh-CN"/>
        </w:rPr>
        <w:t>填埋处置</w:t>
      </w:r>
      <w:r>
        <w:rPr>
          <w:rFonts w:hint="default"/>
          <w:b w:val="0"/>
          <w:bCs w:val="0"/>
          <w:color w:val="auto"/>
          <w:lang w:val="en-US" w:eastAsia="zh-CN"/>
        </w:rPr>
        <w:t>为主，建筑垃圾资源化利用还未形成完整的体系，有待落实工作方案，进一步提高资源化利用水平。</w:t>
      </w:r>
    </w:p>
    <w:p w14:paraId="156F43F6">
      <w:pPr>
        <w:bidi w:val="0"/>
        <w:rPr>
          <w:rFonts w:hint="default"/>
          <w:color w:val="auto"/>
          <w:lang w:val="en-US" w:eastAsia="zh-CN"/>
        </w:rPr>
      </w:pPr>
      <w:r>
        <w:rPr>
          <w:rFonts w:hint="eastAsia"/>
          <w:color w:val="auto"/>
          <w:lang w:val="en-US" w:eastAsia="zh-CN"/>
        </w:rPr>
        <w:t>本溪市</w:t>
      </w:r>
      <w:r>
        <w:rPr>
          <w:rFonts w:hint="default"/>
          <w:color w:val="auto"/>
          <w:lang w:val="en-US" w:eastAsia="zh-CN"/>
        </w:rPr>
        <w:t>现有</w:t>
      </w:r>
      <w:r>
        <w:rPr>
          <w:rFonts w:hint="eastAsia"/>
          <w:color w:val="auto"/>
          <w:lang w:val="en-US" w:eastAsia="zh-CN"/>
        </w:rPr>
        <w:t>建筑垃圾处理收集、转运及处置</w:t>
      </w:r>
      <w:r>
        <w:rPr>
          <w:rFonts w:hint="default"/>
          <w:color w:val="auto"/>
          <w:lang w:val="en-US" w:eastAsia="zh-CN"/>
        </w:rPr>
        <w:t>等配套设施不健全，建筑垃圾信息平台尚不完善，建筑垃圾处置能力存在较大缺口，无法满足</w:t>
      </w:r>
      <w:r>
        <w:rPr>
          <w:rFonts w:hint="eastAsia"/>
          <w:color w:val="auto"/>
          <w:lang w:val="en-US" w:eastAsia="zh-CN"/>
        </w:rPr>
        <w:t>本溪市</w:t>
      </w:r>
      <w:r>
        <w:rPr>
          <w:rFonts w:hint="default"/>
          <w:color w:val="auto"/>
          <w:lang w:val="en-US" w:eastAsia="zh-CN"/>
        </w:rPr>
        <w:t>建筑垃圾处理需求</w:t>
      </w:r>
      <w:r>
        <w:rPr>
          <w:rFonts w:hint="eastAsia"/>
          <w:color w:val="auto"/>
          <w:lang w:val="en-US" w:eastAsia="zh-CN"/>
        </w:rPr>
        <w:t>。</w:t>
      </w:r>
    </w:p>
    <w:p w14:paraId="6575E04C">
      <w:pPr>
        <w:bidi w:val="0"/>
        <w:rPr>
          <w:rFonts w:hint="default"/>
          <w:color w:val="auto"/>
          <w:highlight w:val="none"/>
          <w:lang w:val="en-US" w:eastAsia="zh-CN"/>
        </w:rPr>
      </w:pPr>
      <w:r>
        <w:rPr>
          <w:rFonts w:hint="default"/>
          <w:b/>
          <w:bCs/>
          <w:color w:val="auto"/>
          <w:highlight w:val="none"/>
          <w:lang w:val="en-US" w:eastAsia="zh-CN"/>
        </w:rPr>
        <w:t>建筑垃圾全流程监管不到位。</w:t>
      </w:r>
      <w:r>
        <w:rPr>
          <w:rFonts w:hint="default"/>
          <w:color w:val="auto"/>
          <w:highlight w:val="none"/>
          <w:lang w:val="en-US" w:eastAsia="zh-CN"/>
        </w:rPr>
        <w:t>本溪市在建筑垃圾管理的全链条衔接上仍有进一步完善的空间。由于源头到终端的闭环监管体系尚待健全，个别建筑垃圾未能纳入规范流程，出现了偏离既定路线的排放或临时堆放现象。与此同时，执法部门在实际工作中仍面临人手不足、取证手段有限等现实困难，对部分违规行为的发现和处置未能第一时间到位，客观上延缓了问题的闭环整改</w:t>
      </w:r>
      <w:r>
        <w:rPr>
          <w:rFonts w:hint="eastAsia"/>
          <w:color w:val="auto"/>
          <w:highlight w:val="none"/>
          <w:lang w:val="en-US" w:eastAsia="zh-CN"/>
        </w:rPr>
        <w:t>。</w:t>
      </w:r>
    </w:p>
    <w:p w14:paraId="232FF6B5">
      <w:pPr>
        <w:pStyle w:val="3"/>
        <w:bidi w:val="0"/>
        <w:rPr>
          <w:rFonts w:hint="eastAsia"/>
          <w:color w:val="auto"/>
          <w:lang w:val="en-US" w:eastAsia="zh-CN"/>
        </w:rPr>
      </w:pPr>
      <w:bookmarkStart w:id="29" w:name="_Toc9262"/>
      <w:r>
        <w:rPr>
          <w:rFonts w:hint="eastAsia"/>
          <w:color w:val="auto"/>
          <w:lang w:val="en-US" w:eastAsia="zh-CN"/>
        </w:rPr>
        <w:t>2.2 相关规划解读</w:t>
      </w:r>
      <w:bookmarkEnd w:id="29"/>
    </w:p>
    <w:p w14:paraId="5CBB33AB">
      <w:pPr>
        <w:bidi w:val="0"/>
        <w:rPr>
          <w:rFonts w:hint="eastAsia"/>
          <w:b/>
          <w:bCs/>
          <w:color w:val="auto"/>
          <w:lang w:val="en-US" w:eastAsia="zh-CN"/>
        </w:rPr>
      </w:pPr>
      <w:r>
        <w:rPr>
          <w:rFonts w:hint="eastAsia"/>
          <w:b/>
          <w:bCs/>
          <w:color w:val="auto"/>
          <w:lang w:val="en-US" w:eastAsia="zh-CN"/>
        </w:rPr>
        <w:t>《本溪市国土空间总体规划（2021—2035年）》解读</w:t>
      </w:r>
    </w:p>
    <w:p w14:paraId="0CF49D13">
      <w:pPr>
        <w:bidi w:val="0"/>
        <w:rPr>
          <w:rFonts w:hint="eastAsia"/>
          <w:color w:val="auto"/>
          <w:lang w:val="en-US" w:eastAsia="zh-CN"/>
        </w:rPr>
      </w:pPr>
      <w:r>
        <w:rPr>
          <w:rFonts w:hint="eastAsia"/>
          <w:color w:val="auto"/>
          <w:lang w:val="en-US" w:eastAsia="zh-CN"/>
        </w:rPr>
        <w:t>（1）战略定位：以辽宁省“一圈一带两区”（“一圈”指沈阳都市圈，“一带”指辽宁沿海经济带，“两区”指辽西融入京津冀协同发展战略先导区和辽东绿色经济区）区域发展战略为契机，本溪市坚定支持和服务沈阳都市圈建设，激发产业发展活力，增强城市综合实力和区域竞争力。本溪市作为辽宁省重要的生态涵养地，紧紧抓住辽东绿色经济区建设机遇，围绕生态旅游、生物医药、特色精品农业等领域谋取新突破，推动“绿水青山转化为金山银山”。</w:t>
      </w:r>
    </w:p>
    <w:p w14:paraId="119B2F68">
      <w:pPr>
        <w:bidi w:val="0"/>
        <w:rPr>
          <w:rFonts w:hint="eastAsia"/>
          <w:color w:val="auto"/>
          <w:lang w:val="en-US" w:eastAsia="zh-CN"/>
        </w:rPr>
      </w:pPr>
      <w:r>
        <w:rPr>
          <w:rFonts w:hint="eastAsia"/>
          <w:color w:val="auto"/>
          <w:lang w:val="en-US" w:eastAsia="zh-CN"/>
        </w:rPr>
        <w:t>（2）人口规模：根据现状人口总量、结构变化和流动趋势，结合未来产业转型升级及医药产业、旅游产业等对人才和服务人口吸引能力，预测本溪市人口规模。到2025年，本溪市常住人口约126万人，中心城区常住人口约82万人，常住人口城镇化率82%，本溪市实际服务管理人口约142万人，中心城区实际服务管理人口约86万人；到2035年，本溪市常住人口规模约127万人，中心城区常住人口约88万人，常住人口城镇化率85%，本溪市实际服务管理人口约155万人，中心城区实际服务管理人口约100万人。</w:t>
      </w:r>
    </w:p>
    <w:p w14:paraId="534EE0EB">
      <w:pPr>
        <w:bidi w:val="0"/>
        <w:rPr>
          <w:rFonts w:hint="eastAsia"/>
          <w:color w:val="auto"/>
          <w:lang w:val="en-US" w:eastAsia="zh-CN"/>
        </w:rPr>
      </w:pPr>
      <w:r>
        <w:rPr>
          <w:rFonts w:hint="eastAsia"/>
          <w:color w:val="auto"/>
          <w:lang w:val="en-US" w:eastAsia="zh-CN"/>
        </w:rPr>
        <w:t>（3）用地面积：遵循“老城疏解、新城拓展”的营城思路，老城区严格控制新增居住用地开发强度，有序推进老旧小区改造，推进社区适老化建设。加强太子河新城和本溪高新技术产业开发区高品质居住空间建设，提升城市居住环境水平；桥北、火连寨等产业园统筹居住与产业用地比例，促进职住平衡，增加创新人才公寓、租赁住房建设，实现宜居宜业产业新城。到2035年，规划居住用地面积35.85平方千米。保障落实国家级、省级及市级发展战略的重大基础设施用地。到2035年，新增区域基础设施用地22.50平方千米。到2035年，中心城区城市更新改造总规模约4.49平方千米，其中城中村1.65平方千米、老旧居住区0.48平方千米、低效商业区0.35平方千米、低效工业仓储区2.01平方千米，提高城市人居环境质量、居民生活品质和城市竞争力。</w:t>
      </w:r>
    </w:p>
    <w:p w14:paraId="08308831">
      <w:pPr>
        <w:bidi w:val="0"/>
        <w:rPr>
          <w:rFonts w:hint="eastAsia"/>
          <w:color w:val="auto"/>
          <w:lang w:val="en-US" w:eastAsia="zh-CN"/>
        </w:rPr>
      </w:pPr>
      <w:r>
        <w:rPr>
          <w:rFonts w:hint="eastAsia"/>
          <w:color w:val="auto"/>
          <w:lang w:val="en-US" w:eastAsia="zh-CN"/>
        </w:rPr>
        <w:t>（4）推动建筑垃圾资源化利用项目：加强固体废物处理。加强城镇生活垃圾污染控制，提高城市生活垃圾处理减量化、资源化和无害化水平，实现城镇垃圾处理设施全覆盖。推进危废产业园区和“无废城市”建设。推动千金岭生活垃圾焚烧发电项目、建筑垃圾资源化利用项目等建设，本溪满族自治县与桓仁满族自治县在提升现状垃圾填埋设施处理能力的基础上预留拓展空间。</w:t>
      </w:r>
    </w:p>
    <w:p w14:paraId="39AA6D81">
      <w:pPr>
        <w:bidi w:val="0"/>
        <w:rPr>
          <w:rFonts w:hint="eastAsia"/>
          <w:color w:val="auto"/>
          <w:lang w:val="en-US" w:eastAsia="zh-CN"/>
        </w:rPr>
      </w:pPr>
      <w:r>
        <w:rPr>
          <w:rFonts w:hint="eastAsia"/>
          <w:color w:val="auto"/>
          <w:lang w:val="en-US" w:eastAsia="zh-CN"/>
        </w:rPr>
        <w:drawing>
          <wp:inline distT="0" distB="0" distL="114300" distR="114300">
            <wp:extent cx="2791460" cy="3954780"/>
            <wp:effectExtent l="0" t="0" r="8890" b="762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1"/>
                    <a:stretch>
                      <a:fillRect/>
                    </a:stretch>
                  </pic:blipFill>
                  <pic:spPr>
                    <a:xfrm>
                      <a:off x="0" y="0"/>
                      <a:ext cx="2791460" cy="3954780"/>
                    </a:xfrm>
                    <a:prstGeom prst="rect">
                      <a:avLst/>
                    </a:prstGeom>
                    <a:noFill/>
                    <a:ln>
                      <a:noFill/>
                    </a:ln>
                  </pic:spPr>
                </pic:pic>
              </a:graphicData>
            </a:graphic>
          </wp:inline>
        </w:drawing>
      </w:r>
      <w:r>
        <w:rPr>
          <w:rFonts w:hint="eastAsia"/>
          <w:color w:val="auto"/>
          <w:lang w:val="en-US" w:eastAsia="zh-CN"/>
        </w:rPr>
        <w:drawing>
          <wp:inline distT="0" distB="0" distL="114300" distR="114300">
            <wp:extent cx="2774315" cy="3958590"/>
            <wp:effectExtent l="0" t="0" r="6985" b="38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2774315" cy="3958590"/>
                    </a:xfrm>
                    <a:prstGeom prst="rect">
                      <a:avLst/>
                    </a:prstGeom>
                    <a:noFill/>
                    <a:ln>
                      <a:noFill/>
                    </a:ln>
                  </pic:spPr>
                </pic:pic>
              </a:graphicData>
            </a:graphic>
          </wp:inline>
        </w:drawing>
      </w:r>
    </w:p>
    <w:p w14:paraId="324D93C9">
      <w:pPr>
        <w:bidi w:val="0"/>
        <w:ind w:left="0" w:leftChars="0" w:firstLine="0" w:firstLineChars="0"/>
        <w:jc w:val="center"/>
        <w:rPr>
          <w:rFonts w:hint="eastAsia"/>
          <w:b/>
          <w:bCs/>
          <w:color w:val="auto"/>
          <w:sz w:val="24"/>
          <w:szCs w:val="20"/>
          <w:lang w:val="en-US" w:eastAsia="zh-CN"/>
        </w:rPr>
      </w:pPr>
      <w:r>
        <w:rPr>
          <w:rFonts w:hint="eastAsia"/>
          <w:b/>
          <w:bCs/>
          <w:color w:val="auto"/>
          <w:sz w:val="24"/>
          <w:szCs w:val="20"/>
          <w:lang w:val="en-US" w:eastAsia="zh-CN"/>
        </w:rPr>
        <w:t>图2.2-1 规划土地利用规划图及控制线规划图</w:t>
      </w:r>
    </w:p>
    <w:p w14:paraId="3B4F7C1F">
      <w:pPr>
        <w:bidi w:val="0"/>
        <w:ind w:left="0" w:leftChars="0" w:firstLine="0" w:firstLineChars="0"/>
        <w:jc w:val="center"/>
        <w:rPr>
          <w:rFonts w:hint="default"/>
          <w:b/>
          <w:bCs/>
          <w:color w:val="auto"/>
          <w:sz w:val="24"/>
          <w:szCs w:val="20"/>
          <w:lang w:val="en-US" w:eastAsia="zh-CN"/>
        </w:rPr>
      </w:pPr>
      <w:r>
        <w:rPr>
          <w:rFonts w:hint="eastAsia"/>
          <w:b/>
          <w:bCs/>
          <w:color w:val="auto"/>
          <w:sz w:val="24"/>
          <w:szCs w:val="20"/>
          <w:lang w:val="en-US" w:eastAsia="zh-CN"/>
        </w:rPr>
        <w:t>（引自《本溪市国土空间总体规划（2021—2035年）》）</w:t>
      </w:r>
    </w:p>
    <w:p w14:paraId="61C95E4A">
      <w:pPr>
        <w:rPr>
          <w:rFonts w:hint="default"/>
          <w:color w:val="auto"/>
          <w:lang w:val="en-US" w:eastAsia="zh-CN"/>
        </w:rPr>
      </w:pPr>
      <w:r>
        <w:rPr>
          <w:rFonts w:hint="default"/>
          <w:color w:val="auto"/>
          <w:lang w:val="en-US" w:eastAsia="zh-CN"/>
        </w:rPr>
        <w:br w:type="page"/>
      </w:r>
    </w:p>
    <w:p w14:paraId="6A51E9F3">
      <w:pPr>
        <w:pStyle w:val="2"/>
        <w:bidi w:val="0"/>
        <w:jc w:val="center"/>
        <w:rPr>
          <w:rFonts w:hint="default" w:ascii="Times New Roman" w:hAnsi="Times New Roman" w:eastAsia="黑体" w:cs="Times New Roman"/>
          <w:color w:val="auto"/>
          <w:sz w:val="21"/>
          <w:lang w:val="en-US" w:eastAsia="zh-CN"/>
        </w:rPr>
      </w:pPr>
      <w:bookmarkStart w:id="30" w:name="_Toc8158"/>
      <w:r>
        <w:rPr>
          <w:rFonts w:hint="default" w:ascii="Times New Roman" w:hAnsi="Times New Roman" w:cs="Times New Roman"/>
          <w:color w:val="auto"/>
        </w:rPr>
        <w:t>第</w:t>
      </w:r>
      <w:r>
        <w:rPr>
          <w:rFonts w:hint="eastAsia" w:cs="Times New Roman"/>
          <w:color w:val="auto"/>
          <w:lang w:val="en-US" w:eastAsia="zh-CN"/>
        </w:rPr>
        <w:t>三</w:t>
      </w:r>
      <w:r>
        <w:rPr>
          <w:rFonts w:hint="default" w:ascii="Times New Roman" w:hAnsi="Times New Roman" w:cs="Times New Roman"/>
          <w:color w:val="auto"/>
        </w:rPr>
        <w:t xml:space="preserve">章 </w:t>
      </w:r>
      <w:r>
        <w:rPr>
          <w:rFonts w:hint="eastAsia" w:cs="Times New Roman"/>
          <w:color w:val="auto"/>
          <w:lang w:val="en-US" w:eastAsia="zh-CN"/>
        </w:rPr>
        <w:t>规划目标</w:t>
      </w:r>
      <w:bookmarkEnd w:id="30"/>
    </w:p>
    <w:p w14:paraId="08CEC80A">
      <w:pPr>
        <w:pStyle w:val="3"/>
        <w:bidi w:val="0"/>
        <w:rPr>
          <w:rFonts w:hint="default"/>
          <w:color w:val="auto"/>
          <w:lang w:val="en-US" w:eastAsia="zh-CN"/>
        </w:rPr>
      </w:pPr>
      <w:bookmarkStart w:id="31" w:name="_bookmark10"/>
      <w:bookmarkEnd w:id="31"/>
      <w:bookmarkStart w:id="32" w:name="_Toc20821"/>
      <w:r>
        <w:rPr>
          <w:rFonts w:hint="eastAsia"/>
          <w:color w:val="auto"/>
          <w:lang w:val="en-US" w:eastAsia="zh-CN"/>
        </w:rPr>
        <w:t>3</w:t>
      </w:r>
      <w:r>
        <w:rPr>
          <w:rFonts w:hint="default"/>
          <w:color w:val="auto"/>
        </w:rPr>
        <w:t>.1</w:t>
      </w:r>
      <w:r>
        <w:rPr>
          <w:rFonts w:hint="default"/>
          <w:color w:val="auto"/>
          <w:lang w:val="en-US" w:eastAsia="zh-CN"/>
        </w:rPr>
        <w:t xml:space="preserve"> </w:t>
      </w:r>
      <w:r>
        <w:rPr>
          <w:rFonts w:hint="eastAsia"/>
          <w:color w:val="auto"/>
          <w:lang w:val="en-US" w:eastAsia="zh-CN"/>
        </w:rPr>
        <w:t>总体目标</w:t>
      </w:r>
      <w:bookmarkEnd w:id="32"/>
    </w:p>
    <w:p w14:paraId="458698DE">
      <w:pPr>
        <w:bidi w:val="0"/>
        <w:rPr>
          <w:rFonts w:hint="default"/>
          <w:color w:val="auto"/>
          <w:lang w:val="en-US" w:eastAsia="zh-CN"/>
        </w:rPr>
      </w:pPr>
      <w:r>
        <w:rPr>
          <w:rFonts w:hint="eastAsia"/>
          <w:color w:val="auto"/>
          <w:lang w:val="en-US" w:eastAsia="zh-CN"/>
        </w:rPr>
        <w:t>围绕建筑垃圾</w:t>
      </w:r>
      <w:r>
        <w:rPr>
          <w:rFonts w:hint="eastAsia"/>
          <w:color w:val="auto"/>
          <w:highlight w:val="none"/>
          <w:lang w:val="en-US" w:eastAsia="zh-CN"/>
        </w:rPr>
        <w:t>“减量化、资源化、无害化、数字化”目标，高水平构建“政府统筹、属地负责、分类处置、全程管控</w:t>
      </w:r>
      <w:r>
        <w:rPr>
          <w:rFonts w:hint="eastAsia"/>
          <w:color w:val="auto"/>
          <w:lang w:val="en-US" w:eastAsia="zh-CN"/>
        </w:rPr>
        <w:t>、布局合理、技术先进、资源利用”的建筑垃圾治理体系，推动建筑垃圾从源头到处置的全过程管理，提升建筑垃圾资源化利用和安全处置水平，实现建筑垃圾防治工作资源无浪费、设施无缺口、监管无盲区、保障无缺位。</w:t>
      </w:r>
    </w:p>
    <w:p w14:paraId="6F5A5A57">
      <w:pPr>
        <w:pStyle w:val="3"/>
        <w:bidi w:val="0"/>
        <w:rPr>
          <w:rFonts w:hint="eastAsia"/>
          <w:color w:val="auto"/>
          <w:lang w:val="en-US" w:eastAsia="zh-CN"/>
        </w:rPr>
      </w:pPr>
      <w:bookmarkStart w:id="33" w:name="_Toc23817"/>
      <w:r>
        <w:rPr>
          <w:rFonts w:hint="eastAsia"/>
          <w:color w:val="auto"/>
          <w:lang w:val="en-US" w:eastAsia="zh-CN"/>
        </w:rPr>
        <w:t>3.2 分期目标</w:t>
      </w:r>
      <w:bookmarkEnd w:id="33"/>
    </w:p>
    <w:p w14:paraId="4BDE0C7D">
      <w:pPr>
        <w:pStyle w:val="4"/>
        <w:bidi w:val="0"/>
        <w:rPr>
          <w:rFonts w:hint="eastAsia"/>
          <w:color w:val="auto"/>
          <w:lang w:val="en-US" w:eastAsia="zh-CN"/>
        </w:rPr>
      </w:pPr>
      <w:bookmarkStart w:id="34" w:name="_Toc28817"/>
      <w:r>
        <w:rPr>
          <w:rFonts w:hint="eastAsia"/>
          <w:color w:val="auto"/>
          <w:lang w:val="en-US" w:eastAsia="zh-CN"/>
        </w:rPr>
        <w:t>3.2.1 近期目标（2024—2030年）</w:t>
      </w:r>
      <w:bookmarkEnd w:id="34"/>
    </w:p>
    <w:p w14:paraId="0ACB5B04">
      <w:pPr>
        <w:bidi w:val="0"/>
        <w:rPr>
          <w:rFonts w:hint="default"/>
          <w:color w:val="auto"/>
          <w:lang w:val="en-US" w:eastAsia="zh-CN"/>
        </w:rPr>
      </w:pPr>
      <w:r>
        <w:rPr>
          <w:rFonts w:hint="default"/>
          <w:color w:val="auto"/>
          <w:lang w:val="en-US" w:eastAsia="zh-CN"/>
        </w:rPr>
        <w:t>深化建筑垃圾污染环境防治，优化建筑垃圾结构，实现</w:t>
      </w:r>
      <w:r>
        <w:rPr>
          <w:rFonts w:hint="eastAsia"/>
          <w:color w:val="auto"/>
          <w:lang w:val="en-US" w:eastAsia="zh-CN"/>
        </w:rPr>
        <w:t>资源化利用</w:t>
      </w:r>
      <w:r>
        <w:rPr>
          <w:rFonts w:hint="default"/>
          <w:color w:val="auto"/>
          <w:lang w:val="en-US" w:eastAsia="zh-CN"/>
        </w:rPr>
        <w:t>水平稳步提升，基本建立经济可行、配置合理、技术可靠、环保达标的建筑垃圾收运及</w:t>
      </w:r>
      <w:r>
        <w:rPr>
          <w:rFonts w:hint="eastAsia"/>
          <w:color w:val="auto"/>
          <w:lang w:val="en-US" w:eastAsia="zh-CN"/>
        </w:rPr>
        <w:t>资源化</w:t>
      </w:r>
      <w:r>
        <w:rPr>
          <w:rFonts w:hint="default"/>
          <w:color w:val="auto"/>
          <w:lang w:val="en-US" w:eastAsia="zh-CN"/>
        </w:rPr>
        <w:t>处置利用体系。</w:t>
      </w:r>
    </w:p>
    <w:p w14:paraId="75B8B407">
      <w:pPr>
        <w:pStyle w:val="4"/>
        <w:bidi w:val="0"/>
        <w:rPr>
          <w:rFonts w:hint="eastAsia"/>
          <w:color w:val="auto"/>
          <w:lang w:val="en-US" w:eastAsia="zh-CN"/>
        </w:rPr>
      </w:pPr>
      <w:bookmarkStart w:id="35" w:name="_Toc3387"/>
      <w:r>
        <w:rPr>
          <w:rFonts w:hint="eastAsia"/>
          <w:color w:val="auto"/>
          <w:lang w:val="en-US" w:eastAsia="zh-CN"/>
        </w:rPr>
        <w:t>3.2.2 远期目标（2031—2035年）</w:t>
      </w:r>
      <w:bookmarkEnd w:id="35"/>
    </w:p>
    <w:p w14:paraId="234E5B7E">
      <w:pPr>
        <w:bidi w:val="0"/>
        <w:rPr>
          <w:rFonts w:hint="default"/>
          <w:color w:val="auto"/>
          <w:lang w:val="en-US" w:eastAsia="zh-CN"/>
        </w:rPr>
      </w:pPr>
      <w:r>
        <w:rPr>
          <w:rFonts w:hint="default"/>
          <w:color w:val="auto"/>
          <w:lang w:val="en-US" w:eastAsia="zh-CN"/>
        </w:rPr>
        <w:t>建立健全精准化源头分类、智能化高效清运、专业化中转分拣的建筑垃圾环境污染防范系统机制，</w:t>
      </w:r>
      <w:r>
        <w:rPr>
          <w:rFonts w:hint="eastAsia"/>
          <w:color w:val="auto"/>
          <w:lang w:val="en-US" w:eastAsia="zh-CN"/>
        </w:rPr>
        <w:t>“</w:t>
      </w:r>
      <w:r>
        <w:rPr>
          <w:rFonts w:hint="default"/>
          <w:color w:val="auto"/>
          <w:lang w:val="en-US" w:eastAsia="zh-CN"/>
        </w:rPr>
        <w:t>源头减量、规范处置、监管闭环、整体智治</w:t>
      </w:r>
      <w:r>
        <w:rPr>
          <w:rFonts w:hint="eastAsia"/>
          <w:color w:val="auto"/>
          <w:lang w:val="en-US" w:eastAsia="zh-CN"/>
        </w:rPr>
        <w:t>”</w:t>
      </w:r>
      <w:r>
        <w:rPr>
          <w:rFonts w:hint="default"/>
          <w:color w:val="auto"/>
          <w:lang w:val="en-US" w:eastAsia="zh-CN"/>
        </w:rPr>
        <w:t>的数字化治理体系基本建立。</w:t>
      </w:r>
    </w:p>
    <w:p w14:paraId="2948EC64">
      <w:pPr>
        <w:pStyle w:val="3"/>
        <w:bidi w:val="0"/>
        <w:rPr>
          <w:rFonts w:hint="eastAsia"/>
          <w:color w:val="auto"/>
          <w:lang w:val="en-US" w:eastAsia="zh-CN"/>
        </w:rPr>
      </w:pPr>
      <w:bookmarkStart w:id="36" w:name="_Toc32747"/>
      <w:r>
        <w:rPr>
          <w:rFonts w:hint="eastAsia"/>
          <w:color w:val="auto"/>
          <w:lang w:val="en-US" w:eastAsia="zh-CN"/>
        </w:rPr>
        <w:t>3.3 规划指标体系</w:t>
      </w:r>
      <w:bookmarkEnd w:id="36"/>
    </w:p>
    <w:p w14:paraId="302BB11D">
      <w:pPr>
        <w:bidi w:val="0"/>
        <w:rPr>
          <w:rFonts w:hint="default"/>
          <w:color w:val="auto"/>
          <w:lang w:val="en-US" w:eastAsia="zh-CN"/>
        </w:rPr>
      </w:pPr>
      <w:r>
        <w:rPr>
          <w:rFonts w:hint="default"/>
          <w:color w:val="auto"/>
          <w:lang w:val="en-US" w:eastAsia="zh-CN"/>
        </w:rPr>
        <w:t>根据</w:t>
      </w:r>
      <w:r>
        <w:rPr>
          <w:rFonts w:hint="eastAsia"/>
          <w:color w:val="auto"/>
          <w:highlight w:val="none"/>
          <w:lang w:val="en-US" w:eastAsia="zh-CN"/>
        </w:rPr>
        <w:t>《辽宁省建筑垃圾污染环境防治工作规划编制导则》</w:t>
      </w:r>
      <w:r>
        <w:rPr>
          <w:rFonts w:hint="default"/>
          <w:color w:val="auto"/>
          <w:highlight w:val="none"/>
          <w:lang w:val="en-US" w:eastAsia="zh-CN"/>
        </w:rPr>
        <w:t>指标要求，同步</w:t>
      </w:r>
      <w:r>
        <w:rPr>
          <w:rFonts w:hint="default"/>
          <w:color w:val="auto"/>
          <w:lang w:val="en-US" w:eastAsia="zh-CN"/>
        </w:rPr>
        <w:t>结合</w:t>
      </w:r>
      <w:r>
        <w:rPr>
          <w:rFonts w:hint="eastAsia"/>
          <w:color w:val="auto"/>
          <w:lang w:val="en-US" w:eastAsia="zh-CN"/>
        </w:rPr>
        <w:t>本溪市</w:t>
      </w:r>
      <w:r>
        <w:rPr>
          <w:rFonts w:hint="default"/>
          <w:color w:val="auto"/>
          <w:lang w:val="en-US" w:eastAsia="zh-CN"/>
        </w:rPr>
        <w:t>经济社会发展实际，按照</w:t>
      </w:r>
      <w:r>
        <w:rPr>
          <w:rFonts w:hint="eastAsia"/>
          <w:b/>
          <w:bCs/>
          <w:color w:val="auto"/>
          <w:lang w:val="en-US" w:eastAsia="zh-CN"/>
        </w:rPr>
        <w:t>“</w:t>
      </w:r>
      <w:r>
        <w:rPr>
          <w:rFonts w:hint="default"/>
          <w:b/>
          <w:bCs/>
          <w:color w:val="auto"/>
          <w:lang w:val="en-US" w:eastAsia="zh-CN"/>
        </w:rPr>
        <w:t>减量化、资源化、无害化、数字化</w:t>
      </w:r>
      <w:r>
        <w:rPr>
          <w:rFonts w:hint="eastAsia"/>
          <w:b/>
          <w:bCs/>
          <w:color w:val="auto"/>
          <w:lang w:val="en-US" w:eastAsia="zh-CN"/>
        </w:rPr>
        <w:t>”</w:t>
      </w:r>
      <w:r>
        <w:rPr>
          <w:rFonts w:hint="default"/>
          <w:color w:val="auto"/>
          <w:lang w:val="en-US" w:eastAsia="zh-CN"/>
        </w:rPr>
        <w:t>四个类别，分近期、远期两个规划层次，共计确定</w:t>
      </w:r>
      <w:r>
        <w:rPr>
          <w:rFonts w:hint="eastAsia"/>
          <w:color w:val="auto"/>
          <w:lang w:val="en-US" w:eastAsia="zh-CN"/>
        </w:rPr>
        <w:t>6</w:t>
      </w:r>
      <w:r>
        <w:rPr>
          <w:rFonts w:hint="default"/>
          <w:color w:val="auto"/>
          <w:lang w:val="en-US" w:eastAsia="zh-CN"/>
        </w:rPr>
        <w:t>个规划指标，作为本轮防治工作规划重要参照。具体详见下表</w:t>
      </w:r>
      <w:r>
        <w:rPr>
          <w:rFonts w:hint="eastAsia"/>
          <w:color w:val="auto"/>
          <w:lang w:val="en-US" w:eastAsia="zh-CN"/>
        </w:rPr>
        <w:t>：</w:t>
      </w:r>
    </w:p>
    <w:p w14:paraId="14E7E7CB">
      <w:pPr>
        <w:bidi w:val="0"/>
        <w:rPr>
          <w:rFonts w:hint="default"/>
          <w:color w:val="auto"/>
          <w:lang w:val="en-US" w:eastAsia="zh-CN"/>
        </w:rPr>
      </w:pPr>
    </w:p>
    <w:p w14:paraId="08AA83F3">
      <w:pPr>
        <w:pStyle w:val="23"/>
        <w:rPr>
          <w:rFonts w:hint="default"/>
          <w:color w:val="auto"/>
          <w:lang w:val="en-US" w:eastAsia="zh-CN"/>
        </w:rPr>
      </w:pPr>
    </w:p>
    <w:p w14:paraId="2E50550D">
      <w:pPr>
        <w:pStyle w:val="12"/>
        <w:rPr>
          <w:rFonts w:hint="default"/>
          <w:color w:val="auto"/>
          <w:lang w:val="en-US" w:eastAsia="zh-CN"/>
        </w:rPr>
      </w:pPr>
    </w:p>
    <w:p w14:paraId="67F21493">
      <w:pPr>
        <w:bidi w:val="0"/>
        <w:jc w:val="center"/>
        <w:rPr>
          <w:rFonts w:hint="default"/>
          <w:b/>
          <w:bCs/>
          <w:color w:val="auto"/>
          <w:sz w:val="24"/>
          <w:szCs w:val="20"/>
          <w:highlight w:val="none"/>
          <w:lang w:val="en-US" w:eastAsia="zh-CN"/>
        </w:rPr>
      </w:pPr>
      <w:r>
        <w:rPr>
          <w:rFonts w:hint="eastAsia"/>
          <w:b/>
          <w:bCs/>
          <w:color w:val="auto"/>
          <w:sz w:val="24"/>
          <w:szCs w:val="20"/>
          <w:highlight w:val="none"/>
          <w:lang w:val="en-US" w:eastAsia="zh-CN"/>
        </w:rPr>
        <w:t>表3.3-1 建筑垃圾污染防治规划控制指标</w:t>
      </w:r>
    </w:p>
    <w:tbl>
      <w:tblPr>
        <w:tblStyle w:val="17"/>
        <w:tblW w:w="96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9"/>
        <w:gridCol w:w="1043"/>
        <w:gridCol w:w="4271"/>
        <w:gridCol w:w="1054"/>
        <w:gridCol w:w="2500"/>
      </w:tblGrid>
      <w:tr w14:paraId="5447B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96" w:hRule="atLeast"/>
          <w:tblHeader/>
          <w:jc w:val="center"/>
        </w:trPr>
        <w:tc>
          <w:tcPr>
            <w:tcW w:w="759" w:type="dxa"/>
            <w:vAlign w:val="center"/>
          </w:tcPr>
          <w:p w14:paraId="2D014AC1">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序号</w:t>
            </w:r>
          </w:p>
        </w:tc>
        <w:tc>
          <w:tcPr>
            <w:tcW w:w="1043" w:type="dxa"/>
            <w:vAlign w:val="center"/>
          </w:tcPr>
          <w:p w14:paraId="1A5010E7">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指标类别</w:t>
            </w:r>
          </w:p>
        </w:tc>
        <w:tc>
          <w:tcPr>
            <w:tcW w:w="4271" w:type="dxa"/>
            <w:vAlign w:val="center"/>
          </w:tcPr>
          <w:p w14:paraId="54AC82B8">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指标内容</w:t>
            </w:r>
          </w:p>
        </w:tc>
        <w:tc>
          <w:tcPr>
            <w:tcW w:w="1054" w:type="dxa"/>
            <w:vAlign w:val="center"/>
          </w:tcPr>
          <w:p w14:paraId="569DC12E">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2030目标</w:t>
            </w:r>
          </w:p>
        </w:tc>
        <w:tc>
          <w:tcPr>
            <w:tcW w:w="2500" w:type="dxa"/>
            <w:vAlign w:val="center"/>
          </w:tcPr>
          <w:p w14:paraId="467067D0">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备注</w:t>
            </w:r>
          </w:p>
        </w:tc>
      </w:tr>
      <w:tr w14:paraId="30085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147" w:hRule="atLeast"/>
          <w:jc w:val="center"/>
        </w:trPr>
        <w:tc>
          <w:tcPr>
            <w:tcW w:w="759" w:type="dxa"/>
            <w:tcBorders>
              <w:bottom w:val="single" w:color="auto" w:sz="4" w:space="0"/>
            </w:tcBorders>
            <w:vAlign w:val="center"/>
          </w:tcPr>
          <w:p w14:paraId="0035B3C7">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1</w:t>
            </w:r>
          </w:p>
        </w:tc>
        <w:tc>
          <w:tcPr>
            <w:tcW w:w="1043" w:type="dxa"/>
            <w:vMerge w:val="restart"/>
            <w:tcBorders>
              <w:bottom w:val="single" w:color="auto" w:sz="4" w:space="0"/>
            </w:tcBorders>
            <w:vAlign w:val="center"/>
          </w:tcPr>
          <w:p w14:paraId="2B0808A2">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减量化</w:t>
            </w:r>
          </w:p>
        </w:tc>
        <w:tc>
          <w:tcPr>
            <w:tcW w:w="4271" w:type="dxa"/>
            <w:tcBorders>
              <w:bottom w:val="single" w:color="auto" w:sz="4" w:space="0"/>
            </w:tcBorders>
            <w:vAlign w:val="center"/>
          </w:tcPr>
          <w:p w14:paraId="100D6CF8">
            <w:pPr>
              <w:bidi w:val="0"/>
              <w:ind w:left="0" w:leftChars="0" w:firstLine="0" w:firstLineChars="0"/>
              <w:jc w:val="left"/>
              <w:rPr>
                <w:rFonts w:hint="default"/>
                <w:color w:val="auto"/>
                <w:sz w:val="24"/>
                <w:szCs w:val="20"/>
                <w:lang w:val="en-US" w:eastAsia="zh-CN"/>
              </w:rPr>
            </w:pPr>
            <w:r>
              <w:rPr>
                <w:rFonts w:hint="default"/>
                <w:color w:val="auto"/>
                <w:sz w:val="24"/>
                <w:szCs w:val="20"/>
                <w:lang w:val="en-US" w:eastAsia="zh-CN"/>
              </w:rPr>
              <w:t>新建建筑施工现场建筑垃圾排放量（不包括工程渣土、工程泥浆）（t/万 m</w:t>
            </w:r>
            <w:r>
              <w:rPr>
                <w:rFonts w:hint="default"/>
                <w:color w:val="auto"/>
                <w:sz w:val="24"/>
                <w:szCs w:val="20"/>
                <w:vertAlign w:val="superscript"/>
                <w:lang w:val="en-US" w:eastAsia="zh-CN"/>
              </w:rPr>
              <w:t>2</w:t>
            </w:r>
            <w:r>
              <w:rPr>
                <w:rFonts w:hint="default"/>
                <w:color w:val="auto"/>
                <w:sz w:val="24"/>
                <w:szCs w:val="20"/>
                <w:lang w:val="en-US" w:eastAsia="zh-CN"/>
              </w:rPr>
              <w:t>）</w:t>
            </w:r>
          </w:p>
        </w:tc>
        <w:tc>
          <w:tcPr>
            <w:tcW w:w="1054" w:type="dxa"/>
            <w:tcBorders>
              <w:bottom w:val="single" w:color="auto" w:sz="4" w:space="0"/>
            </w:tcBorders>
            <w:vAlign w:val="center"/>
          </w:tcPr>
          <w:p w14:paraId="03BD07DB">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≤300</w:t>
            </w:r>
          </w:p>
        </w:tc>
        <w:tc>
          <w:tcPr>
            <w:tcW w:w="2500" w:type="dxa"/>
            <w:tcBorders>
              <w:bottom w:val="single" w:color="auto" w:sz="4" w:space="0"/>
            </w:tcBorders>
            <w:vAlign w:val="center"/>
          </w:tcPr>
          <w:p w14:paraId="3C36B7E8">
            <w:pPr>
              <w:bidi w:val="0"/>
              <w:ind w:left="0" w:leftChars="0" w:firstLine="0" w:firstLineChars="0"/>
              <w:jc w:val="center"/>
              <w:rPr>
                <w:rFonts w:hint="default"/>
                <w:color w:val="auto"/>
                <w:sz w:val="24"/>
                <w:szCs w:val="20"/>
                <w:lang w:val="en-US" w:eastAsia="zh-CN"/>
              </w:rPr>
            </w:pPr>
            <w:r>
              <w:rPr>
                <w:rFonts w:hint="eastAsia"/>
                <w:color w:val="auto"/>
                <w:sz w:val="24"/>
                <w:szCs w:val="20"/>
                <w:lang w:val="en-US" w:eastAsia="zh-CN"/>
              </w:rPr>
              <w:t>约束</w:t>
            </w:r>
            <w:r>
              <w:rPr>
                <w:rFonts w:hint="default"/>
                <w:color w:val="auto"/>
                <w:sz w:val="24"/>
                <w:szCs w:val="20"/>
                <w:lang w:val="en-US" w:eastAsia="zh-CN"/>
              </w:rPr>
              <w:t>性</w:t>
            </w:r>
          </w:p>
        </w:tc>
      </w:tr>
      <w:tr w14:paraId="5F5B8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147"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5218EF5F">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2</w:t>
            </w:r>
          </w:p>
        </w:tc>
        <w:tc>
          <w:tcPr>
            <w:tcW w:w="1043" w:type="dxa"/>
            <w:vMerge w:val="continue"/>
            <w:tcBorders>
              <w:top w:val="single" w:color="auto" w:sz="4" w:space="0"/>
              <w:left w:val="single" w:color="auto" w:sz="4" w:space="0"/>
              <w:bottom w:val="single" w:color="auto" w:sz="4" w:space="0"/>
              <w:right w:val="single" w:color="auto" w:sz="4" w:space="0"/>
            </w:tcBorders>
            <w:vAlign w:val="center"/>
          </w:tcPr>
          <w:p w14:paraId="14A72B03">
            <w:pPr>
              <w:bidi w:val="0"/>
              <w:ind w:left="0" w:leftChars="0" w:firstLine="0" w:firstLineChars="0"/>
              <w:jc w:val="center"/>
              <w:rPr>
                <w:rFonts w:hint="default"/>
                <w:color w:val="auto"/>
                <w:sz w:val="24"/>
                <w:szCs w:val="20"/>
                <w:lang w:val="en-US" w:eastAsia="zh-CN"/>
              </w:rPr>
            </w:pPr>
          </w:p>
        </w:tc>
        <w:tc>
          <w:tcPr>
            <w:tcW w:w="4271" w:type="dxa"/>
            <w:tcBorders>
              <w:top w:val="single" w:color="auto" w:sz="4" w:space="0"/>
              <w:left w:val="single" w:color="auto" w:sz="4" w:space="0"/>
              <w:bottom w:val="single" w:color="auto" w:sz="4" w:space="0"/>
              <w:right w:val="single" w:color="auto" w:sz="4" w:space="0"/>
            </w:tcBorders>
            <w:vAlign w:val="center"/>
          </w:tcPr>
          <w:p w14:paraId="380B0238">
            <w:pPr>
              <w:bidi w:val="0"/>
              <w:ind w:left="0" w:leftChars="0" w:firstLine="0" w:firstLineChars="0"/>
              <w:jc w:val="left"/>
              <w:rPr>
                <w:rFonts w:hint="default"/>
                <w:color w:val="auto"/>
                <w:sz w:val="24"/>
                <w:szCs w:val="20"/>
                <w:lang w:val="en-US" w:eastAsia="zh-CN"/>
              </w:rPr>
            </w:pPr>
            <w:r>
              <w:rPr>
                <w:rFonts w:hint="default"/>
                <w:color w:val="auto"/>
                <w:sz w:val="24"/>
                <w:szCs w:val="20"/>
                <w:lang w:val="en-US" w:eastAsia="zh-CN"/>
              </w:rPr>
              <w:t>装配式建筑施工现场建筑垃圾排放量（不包括工程渣土、工程泥浆）（t/万 m</w:t>
            </w:r>
            <w:r>
              <w:rPr>
                <w:rFonts w:hint="default"/>
                <w:color w:val="auto"/>
                <w:sz w:val="24"/>
                <w:szCs w:val="20"/>
                <w:vertAlign w:val="superscript"/>
                <w:lang w:val="en-US" w:eastAsia="zh-CN"/>
              </w:rPr>
              <w:t>2</w:t>
            </w:r>
            <w:r>
              <w:rPr>
                <w:rFonts w:hint="default"/>
                <w:color w:val="auto"/>
                <w:sz w:val="24"/>
                <w:szCs w:val="20"/>
                <w:lang w:val="en-US" w:eastAsia="zh-CN"/>
              </w:rPr>
              <w:t>）</w:t>
            </w:r>
          </w:p>
        </w:tc>
        <w:tc>
          <w:tcPr>
            <w:tcW w:w="1054" w:type="dxa"/>
            <w:tcBorders>
              <w:top w:val="single" w:color="auto" w:sz="4" w:space="0"/>
              <w:left w:val="single" w:color="auto" w:sz="4" w:space="0"/>
              <w:bottom w:val="single" w:color="auto" w:sz="4" w:space="0"/>
              <w:right w:val="single" w:color="auto" w:sz="4" w:space="0"/>
            </w:tcBorders>
            <w:vAlign w:val="center"/>
          </w:tcPr>
          <w:p w14:paraId="3408EE27">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≤200</w:t>
            </w:r>
          </w:p>
        </w:tc>
        <w:tc>
          <w:tcPr>
            <w:tcW w:w="2500" w:type="dxa"/>
            <w:tcBorders>
              <w:top w:val="single" w:color="auto" w:sz="4" w:space="0"/>
              <w:left w:val="single" w:color="auto" w:sz="4" w:space="0"/>
              <w:bottom w:val="single" w:color="auto" w:sz="4" w:space="0"/>
              <w:right w:val="single" w:color="auto" w:sz="4" w:space="0"/>
            </w:tcBorders>
            <w:vAlign w:val="center"/>
          </w:tcPr>
          <w:p w14:paraId="5F7913CD">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约束性</w:t>
            </w:r>
          </w:p>
        </w:tc>
      </w:tr>
      <w:tr w14:paraId="4ED0E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11"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48B675AE">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3</w:t>
            </w:r>
          </w:p>
        </w:tc>
        <w:tc>
          <w:tcPr>
            <w:tcW w:w="1043" w:type="dxa"/>
            <w:tcBorders>
              <w:top w:val="single" w:color="auto" w:sz="4" w:space="0"/>
              <w:left w:val="single" w:color="auto" w:sz="4" w:space="0"/>
              <w:bottom w:val="single" w:color="auto" w:sz="4" w:space="0"/>
              <w:right w:val="single" w:color="auto" w:sz="4" w:space="0"/>
            </w:tcBorders>
            <w:vAlign w:val="center"/>
          </w:tcPr>
          <w:p w14:paraId="7FDCDB38">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资源化</w:t>
            </w:r>
          </w:p>
        </w:tc>
        <w:tc>
          <w:tcPr>
            <w:tcW w:w="4271" w:type="dxa"/>
            <w:tcBorders>
              <w:top w:val="single" w:color="auto" w:sz="4" w:space="0"/>
              <w:left w:val="single" w:color="auto" w:sz="4" w:space="0"/>
              <w:bottom w:val="single" w:color="auto" w:sz="4" w:space="0"/>
              <w:right w:val="single" w:color="auto" w:sz="4" w:space="0"/>
            </w:tcBorders>
            <w:vAlign w:val="center"/>
          </w:tcPr>
          <w:p w14:paraId="2A6FB1D9">
            <w:pPr>
              <w:bidi w:val="0"/>
              <w:ind w:left="0" w:leftChars="0" w:firstLine="0" w:firstLineChars="0"/>
              <w:jc w:val="left"/>
              <w:rPr>
                <w:rFonts w:hint="default"/>
                <w:color w:val="auto"/>
                <w:sz w:val="24"/>
                <w:szCs w:val="20"/>
                <w:lang w:val="en-US" w:eastAsia="zh-CN"/>
              </w:rPr>
            </w:pPr>
            <w:r>
              <w:rPr>
                <w:rFonts w:hint="default"/>
                <w:color w:val="auto"/>
                <w:sz w:val="24"/>
                <w:szCs w:val="20"/>
                <w:lang w:val="en-US" w:eastAsia="zh-CN"/>
              </w:rPr>
              <w:t>建筑垃圾</w:t>
            </w:r>
            <w:r>
              <w:rPr>
                <w:rFonts w:hint="eastAsia"/>
                <w:color w:val="auto"/>
                <w:sz w:val="24"/>
                <w:szCs w:val="20"/>
                <w:lang w:val="en-US" w:eastAsia="zh-CN"/>
              </w:rPr>
              <w:t>资源化</w:t>
            </w:r>
            <w:r>
              <w:rPr>
                <w:rFonts w:hint="default"/>
                <w:color w:val="auto"/>
                <w:sz w:val="24"/>
                <w:szCs w:val="20"/>
                <w:lang w:val="en-US" w:eastAsia="zh-CN"/>
              </w:rPr>
              <w:t>利用率（%）</w:t>
            </w:r>
          </w:p>
        </w:tc>
        <w:tc>
          <w:tcPr>
            <w:tcW w:w="1054" w:type="dxa"/>
            <w:tcBorders>
              <w:top w:val="single" w:color="auto" w:sz="4" w:space="0"/>
              <w:left w:val="single" w:color="auto" w:sz="4" w:space="0"/>
              <w:bottom w:val="single" w:color="auto" w:sz="4" w:space="0"/>
              <w:right w:val="single" w:color="auto" w:sz="4" w:space="0"/>
            </w:tcBorders>
            <w:vAlign w:val="center"/>
          </w:tcPr>
          <w:p w14:paraId="2AA1388D">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≥60</w:t>
            </w:r>
          </w:p>
        </w:tc>
        <w:tc>
          <w:tcPr>
            <w:tcW w:w="2500" w:type="dxa"/>
            <w:tcBorders>
              <w:top w:val="single" w:color="auto" w:sz="4" w:space="0"/>
              <w:left w:val="single" w:color="auto" w:sz="4" w:space="0"/>
              <w:bottom w:val="single" w:color="auto" w:sz="4" w:space="0"/>
              <w:right w:val="single" w:color="auto" w:sz="4" w:space="0"/>
            </w:tcBorders>
            <w:vAlign w:val="center"/>
          </w:tcPr>
          <w:p w14:paraId="1AA808EB">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期望性</w:t>
            </w:r>
          </w:p>
          <w:p w14:paraId="40980588">
            <w:pPr>
              <w:bidi w:val="0"/>
              <w:ind w:left="0" w:leftChars="0" w:firstLine="0" w:firstLineChars="0"/>
              <w:jc w:val="center"/>
              <w:rPr>
                <w:rFonts w:hint="default"/>
                <w:color w:val="auto"/>
                <w:sz w:val="24"/>
                <w:szCs w:val="20"/>
                <w:lang w:val="en-US" w:eastAsia="zh-CN"/>
              </w:rPr>
            </w:pPr>
            <w:r>
              <w:rPr>
                <w:rFonts w:hint="eastAsia"/>
                <w:color w:val="auto"/>
                <w:sz w:val="24"/>
                <w:szCs w:val="20"/>
                <w:lang w:val="en-US" w:eastAsia="zh-CN"/>
              </w:rPr>
              <w:t>2027年达到50%及以上</w:t>
            </w:r>
          </w:p>
        </w:tc>
      </w:tr>
      <w:tr w14:paraId="5FBCF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29"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79CB54B9">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4</w:t>
            </w:r>
          </w:p>
        </w:tc>
        <w:tc>
          <w:tcPr>
            <w:tcW w:w="1043" w:type="dxa"/>
            <w:tcBorders>
              <w:top w:val="single" w:color="auto" w:sz="4" w:space="0"/>
              <w:left w:val="single" w:color="auto" w:sz="4" w:space="0"/>
              <w:bottom w:val="single" w:color="auto" w:sz="4" w:space="0"/>
              <w:right w:val="single" w:color="auto" w:sz="4" w:space="0"/>
            </w:tcBorders>
            <w:vAlign w:val="center"/>
          </w:tcPr>
          <w:p w14:paraId="53F1942B">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无害化</w:t>
            </w:r>
          </w:p>
        </w:tc>
        <w:tc>
          <w:tcPr>
            <w:tcW w:w="4271" w:type="dxa"/>
            <w:tcBorders>
              <w:top w:val="single" w:color="auto" w:sz="4" w:space="0"/>
              <w:left w:val="single" w:color="auto" w:sz="4" w:space="0"/>
              <w:bottom w:val="single" w:color="auto" w:sz="4" w:space="0"/>
              <w:right w:val="single" w:color="auto" w:sz="4" w:space="0"/>
            </w:tcBorders>
            <w:vAlign w:val="center"/>
          </w:tcPr>
          <w:p w14:paraId="14BB1DD9">
            <w:pPr>
              <w:bidi w:val="0"/>
              <w:ind w:left="0" w:leftChars="0" w:firstLine="0" w:firstLineChars="0"/>
              <w:jc w:val="left"/>
              <w:rPr>
                <w:rFonts w:hint="default"/>
                <w:color w:val="auto"/>
                <w:sz w:val="24"/>
                <w:szCs w:val="20"/>
                <w:lang w:val="en-US" w:eastAsia="zh-CN"/>
              </w:rPr>
            </w:pPr>
            <w:r>
              <w:rPr>
                <w:rFonts w:hint="default"/>
                <w:color w:val="auto"/>
                <w:sz w:val="24"/>
                <w:szCs w:val="20"/>
                <w:lang w:val="en-US" w:eastAsia="zh-CN"/>
              </w:rPr>
              <w:t>建筑垃圾无害化处置率（%）</w:t>
            </w:r>
          </w:p>
        </w:tc>
        <w:tc>
          <w:tcPr>
            <w:tcW w:w="1054" w:type="dxa"/>
            <w:tcBorders>
              <w:top w:val="single" w:color="auto" w:sz="4" w:space="0"/>
              <w:left w:val="single" w:color="auto" w:sz="4" w:space="0"/>
              <w:bottom w:val="single" w:color="auto" w:sz="4" w:space="0"/>
              <w:right w:val="single" w:color="auto" w:sz="4" w:space="0"/>
            </w:tcBorders>
            <w:vAlign w:val="center"/>
          </w:tcPr>
          <w:p w14:paraId="36BDAA5A">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100</w:t>
            </w:r>
          </w:p>
        </w:tc>
        <w:tc>
          <w:tcPr>
            <w:tcW w:w="2500" w:type="dxa"/>
            <w:tcBorders>
              <w:top w:val="single" w:color="auto" w:sz="4" w:space="0"/>
              <w:left w:val="single" w:color="auto" w:sz="4" w:space="0"/>
              <w:bottom w:val="single" w:color="auto" w:sz="4" w:space="0"/>
              <w:right w:val="single" w:color="auto" w:sz="4" w:space="0"/>
            </w:tcBorders>
            <w:vAlign w:val="center"/>
          </w:tcPr>
          <w:p w14:paraId="739A99FE">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期望性</w:t>
            </w:r>
          </w:p>
        </w:tc>
      </w:tr>
      <w:tr w14:paraId="67E8F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10"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6E144710">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5</w:t>
            </w:r>
          </w:p>
        </w:tc>
        <w:tc>
          <w:tcPr>
            <w:tcW w:w="1043" w:type="dxa"/>
            <w:vMerge w:val="restart"/>
            <w:tcBorders>
              <w:top w:val="single" w:color="auto" w:sz="4" w:space="0"/>
              <w:left w:val="single" w:color="auto" w:sz="4" w:space="0"/>
              <w:bottom w:val="single" w:color="auto" w:sz="4" w:space="0"/>
              <w:right w:val="single" w:color="auto" w:sz="4" w:space="0"/>
            </w:tcBorders>
            <w:vAlign w:val="center"/>
          </w:tcPr>
          <w:p w14:paraId="6012B906">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数字化</w:t>
            </w:r>
          </w:p>
        </w:tc>
        <w:tc>
          <w:tcPr>
            <w:tcW w:w="4271" w:type="dxa"/>
            <w:tcBorders>
              <w:top w:val="single" w:color="auto" w:sz="4" w:space="0"/>
              <w:left w:val="single" w:color="auto" w:sz="4" w:space="0"/>
              <w:bottom w:val="single" w:color="auto" w:sz="4" w:space="0"/>
              <w:right w:val="single" w:color="auto" w:sz="4" w:space="0"/>
            </w:tcBorders>
            <w:vAlign w:val="center"/>
          </w:tcPr>
          <w:p w14:paraId="4FC10C47">
            <w:pPr>
              <w:bidi w:val="0"/>
              <w:ind w:left="0" w:leftChars="0" w:firstLine="0" w:firstLineChars="0"/>
              <w:jc w:val="left"/>
              <w:rPr>
                <w:rFonts w:hint="default"/>
                <w:color w:val="auto"/>
                <w:sz w:val="24"/>
                <w:szCs w:val="20"/>
                <w:lang w:val="en-US" w:eastAsia="zh-CN"/>
              </w:rPr>
            </w:pPr>
            <w:r>
              <w:rPr>
                <w:rFonts w:hint="default"/>
                <w:color w:val="auto"/>
                <w:sz w:val="24"/>
                <w:szCs w:val="20"/>
                <w:lang w:val="en-US" w:eastAsia="zh-CN"/>
              </w:rPr>
              <w:t>建筑垃圾运输车船卫星定位、装卸记录仪接入率（%）</w:t>
            </w:r>
          </w:p>
        </w:tc>
        <w:tc>
          <w:tcPr>
            <w:tcW w:w="1054" w:type="dxa"/>
            <w:tcBorders>
              <w:top w:val="single" w:color="auto" w:sz="4" w:space="0"/>
              <w:left w:val="single" w:color="auto" w:sz="4" w:space="0"/>
              <w:bottom w:val="single" w:color="auto" w:sz="4" w:space="0"/>
              <w:right w:val="single" w:color="auto" w:sz="4" w:space="0"/>
            </w:tcBorders>
            <w:vAlign w:val="center"/>
          </w:tcPr>
          <w:p w14:paraId="047E2DB6">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100</w:t>
            </w:r>
          </w:p>
        </w:tc>
        <w:tc>
          <w:tcPr>
            <w:tcW w:w="2500" w:type="dxa"/>
            <w:tcBorders>
              <w:top w:val="single" w:color="auto" w:sz="4" w:space="0"/>
              <w:left w:val="single" w:color="auto" w:sz="4" w:space="0"/>
              <w:bottom w:val="single" w:color="auto" w:sz="4" w:space="0"/>
              <w:right w:val="single" w:color="auto" w:sz="4" w:space="0"/>
            </w:tcBorders>
            <w:vAlign w:val="center"/>
          </w:tcPr>
          <w:p w14:paraId="3F153C76">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约束性</w:t>
            </w:r>
          </w:p>
        </w:tc>
      </w:tr>
      <w:tr w14:paraId="05DAB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37"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60EC3E6D">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6</w:t>
            </w:r>
          </w:p>
        </w:tc>
        <w:tc>
          <w:tcPr>
            <w:tcW w:w="1043" w:type="dxa"/>
            <w:vMerge w:val="continue"/>
            <w:tcBorders>
              <w:top w:val="single" w:color="auto" w:sz="4" w:space="0"/>
              <w:left w:val="single" w:color="auto" w:sz="4" w:space="0"/>
              <w:bottom w:val="single" w:color="auto" w:sz="4" w:space="0"/>
              <w:right w:val="single" w:color="auto" w:sz="4" w:space="0"/>
            </w:tcBorders>
            <w:vAlign w:val="center"/>
          </w:tcPr>
          <w:p w14:paraId="5BC68FAE">
            <w:pPr>
              <w:bidi w:val="0"/>
              <w:ind w:left="0" w:leftChars="0" w:firstLine="0" w:firstLineChars="0"/>
              <w:jc w:val="center"/>
              <w:rPr>
                <w:rFonts w:hint="default"/>
                <w:color w:val="auto"/>
                <w:sz w:val="24"/>
                <w:szCs w:val="20"/>
                <w:lang w:val="en-US" w:eastAsia="zh-CN"/>
              </w:rPr>
            </w:pPr>
          </w:p>
        </w:tc>
        <w:tc>
          <w:tcPr>
            <w:tcW w:w="4271" w:type="dxa"/>
            <w:tcBorders>
              <w:top w:val="single" w:color="auto" w:sz="4" w:space="0"/>
              <w:left w:val="single" w:color="auto" w:sz="4" w:space="0"/>
              <w:bottom w:val="single" w:color="auto" w:sz="4" w:space="0"/>
              <w:right w:val="single" w:color="auto" w:sz="4" w:space="0"/>
            </w:tcBorders>
            <w:vAlign w:val="center"/>
          </w:tcPr>
          <w:p w14:paraId="709769C9">
            <w:pPr>
              <w:bidi w:val="0"/>
              <w:ind w:left="0" w:leftChars="0" w:firstLine="0" w:firstLineChars="0"/>
              <w:jc w:val="left"/>
              <w:rPr>
                <w:rFonts w:hint="default"/>
                <w:color w:val="auto"/>
                <w:sz w:val="24"/>
                <w:szCs w:val="20"/>
                <w:lang w:val="en-US" w:eastAsia="zh-CN"/>
              </w:rPr>
            </w:pPr>
            <w:r>
              <w:rPr>
                <w:rFonts w:hint="default"/>
                <w:color w:val="auto"/>
                <w:sz w:val="24"/>
                <w:szCs w:val="20"/>
                <w:lang w:val="en-US" w:eastAsia="zh-CN"/>
              </w:rPr>
              <w:t>建筑垃圾处理场所视频监控接入率（%）</w:t>
            </w:r>
          </w:p>
        </w:tc>
        <w:tc>
          <w:tcPr>
            <w:tcW w:w="1054" w:type="dxa"/>
            <w:tcBorders>
              <w:top w:val="single" w:color="auto" w:sz="4" w:space="0"/>
              <w:left w:val="single" w:color="auto" w:sz="4" w:space="0"/>
              <w:bottom w:val="single" w:color="auto" w:sz="4" w:space="0"/>
              <w:right w:val="single" w:color="auto" w:sz="4" w:space="0"/>
            </w:tcBorders>
            <w:vAlign w:val="center"/>
          </w:tcPr>
          <w:p w14:paraId="368481DA">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90</w:t>
            </w:r>
          </w:p>
        </w:tc>
        <w:tc>
          <w:tcPr>
            <w:tcW w:w="2500" w:type="dxa"/>
            <w:tcBorders>
              <w:top w:val="single" w:color="auto" w:sz="4" w:space="0"/>
              <w:left w:val="single" w:color="auto" w:sz="4" w:space="0"/>
              <w:bottom w:val="single" w:color="auto" w:sz="4" w:space="0"/>
              <w:right w:val="single" w:color="auto" w:sz="4" w:space="0"/>
            </w:tcBorders>
            <w:vAlign w:val="center"/>
          </w:tcPr>
          <w:p w14:paraId="63C00620">
            <w:pPr>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期望性</w:t>
            </w:r>
          </w:p>
        </w:tc>
      </w:tr>
    </w:tbl>
    <w:p w14:paraId="21053495">
      <w:pPr>
        <w:rPr>
          <w:rFonts w:hint="default"/>
          <w:color w:val="auto"/>
          <w:lang w:val="en-US" w:eastAsia="zh-CN"/>
        </w:rPr>
      </w:pPr>
      <w:r>
        <w:rPr>
          <w:rFonts w:hint="default"/>
          <w:color w:val="auto"/>
          <w:lang w:val="en-US" w:eastAsia="zh-CN"/>
        </w:rPr>
        <w:br w:type="page"/>
      </w:r>
    </w:p>
    <w:p w14:paraId="310D176D">
      <w:pPr>
        <w:pStyle w:val="2"/>
        <w:bidi w:val="0"/>
        <w:rPr>
          <w:rFonts w:hint="default" w:ascii="Times New Roman" w:hAnsi="Times New Roman" w:cs="Times New Roman"/>
          <w:color w:val="auto"/>
          <w:lang w:val="en-US" w:eastAsia="zh-CN"/>
        </w:rPr>
      </w:pPr>
      <w:bookmarkStart w:id="37" w:name="_Toc8833"/>
      <w:r>
        <w:rPr>
          <w:rFonts w:hint="default" w:ascii="Times New Roman" w:hAnsi="Times New Roman" w:cs="Times New Roman"/>
          <w:color w:val="auto"/>
          <w:lang w:val="en-US" w:eastAsia="zh-CN"/>
        </w:rPr>
        <w:t>第</w:t>
      </w:r>
      <w:r>
        <w:rPr>
          <w:rFonts w:hint="eastAsia" w:cs="Times New Roman"/>
          <w:color w:val="auto"/>
          <w:lang w:val="en-US" w:eastAsia="zh-CN"/>
        </w:rPr>
        <w:t>四</w:t>
      </w:r>
      <w:r>
        <w:rPr>
          <w:rFonts w:hint="default" w:ascii="Times New Roman" w:hAnsi="Times New Roman" w:cs="Times New Roman"/>
          <w:color w:val="auto"/>
          <w:lang w:val="en-US" w:eastAsia="zh-CN"/>
        </w:rPr>
        <w:t xml:space="preserve">章 </w:t>
      </w:r>
      <w:r>
        <w:rPr>
          <w:rFonts w:hint="eastAsia" w:cs="Times New Roman"/>
          <w:color w:val="auto"/>
          <w:lang w:val="en-US" w:eastAsia="zh-CN"/>
        </w:rPr>
        <w:t>规模预测</w:t>
      </w:r>
      <w:bookmarkEnd w:id="37"/>
    </w:p>
    <w:p w14:paraId="780E34B7">
      <w:pPr>
        <w:pStyle w:val="3"/>
        <w:bidi w:val="0"/>
        <w:rPr>
          <w:rFonts w:hint="eastAsia"/>
          <w:color w:val="auto"/>
          <w:lang w:val="en-US" w:eastAsia="zh-CN"/>
        </w:rPr>
      </w:pPr>
      <w:bookmarkStart w:id="38" w:name="_bookmark14"/>
      <w:bookmarkEnd w:id="38"/>
      <w:bookmarkStart w:id="39" w:name="_Toc3257"/>
      <w:r>
        <w:rPr>
          <w:rFonts w:hint="eastAsia"/>
          <w:color w:val="auto"/>
          <w:lang w:val="en-US" w:eastAsia="zh-CN"/>
        </w:rPr>
        <w:t>4.1 建筑垃圾产生量预测</w:t>
      </w:r>
      <w:bookmarkEnd w:id="39"/>
    </w:p>
    <w:p w14:paraId="3112425E">
      <w:pPr>
        <w:bidi w:val="0"/>
        <w:rPr>
          <w:rFonts w:hint="default"/>
          <w:color w:val="auto"/>
          <w:lang w:val="en-US" w:eastAsia="zh-CN"/>
        </w:rPr>
      </w:pPr>
      <w:r>
        <w:rPr>
          <w:rFonts w:hint="eastAsia"/>
          <w:color w:val="auto"/>
          <w:lang w:val="en-US" w:eastAsia="zh-CN"/>
        </w:rPr>
        <w:t>本溪市</w:t>
      </w:r>
      <w:r>
        <w:rPr>
          <w:rFonts w:hint="default"/>
          <w:color w:val="auto"/>
          <w:lang w:val="en-US" w:eastAsia="zh-CN"/>
        </w:rPr>
        <w:t>的建筑垃圾主要为工程渣土、工程泥浆、工程垃圾、拆除垃圾和装修垃圾。</w:t>
      </w:r>
      <w:r>
        <w:rPr>
          <w:rFonts w:hint="eastAsia"/>
          <w:color w:val="auto"/>
          <w:lang w:val="en-US" w:eastAsia="zh-CN"/>
        </w:rPr>
        <w:t>分类对建筑垃圾产生量进行预测。</w:t>
      </w:r>
    </w:p>
    <w:p w14:paraId="6A45D3F0">
      <w:pPr>
        <w:pStyle w:val="4"/>
        <w:bidi w:val="0"/>
        <w:rPr>
          <w:rFonts w:hint="eastAsia"/>
          <w:color w:val="auto"/>
          <w:lang w:val="en-US" w:eastAsia="zh-CN"/>
        </w:rPr>
      </w:pPr>
      <w:bookmarkStart w:id="40" w:name="_Toc21079"/>
      <w:r>
        <w:rPr>
          <w:rFonts w:hint="eastAsia"/>
          <w:color w:val="auto"/>
          <w:lang w:val="en-US" w:eastAsia="zh-CN"/>
        </w:rPr>
        <w:t>4.1.1 工程渣土及泥浆预测</w:t>
      </w:r>
      <w:bookmarkEnd w:id="40"/>
    </w:p>
    <w:p w14:paraId="594EAF6E">
      <w:pPr>
        <w:bidi w:val="0"/>
        <w:rPr>
          <w:rFonts w:hint="default"/>
          <w:color w:val="auto"/>
          <w:highlight w:val="none"/>
          <w:lang w:val="en-US" w:eastAsia="zh-CN"/>
        </w:rPr>
      </w:pPr>
      <w:r>
        <w:rPr>
          <w:rFonts w:hint="default"/>
          <w:color w:val="auto"/>
          <w:highlight w:val="none"/>
          <w:lang w:val="en-US" w:eastAsia="zh-CN"/>
        </w:rPr>
        <w:t>《建筑垃圾处理技术标准》（CJJ/T134-2019）中工程渣土及泥浆的产量是依据现场地形、设计资料及施工工艺等综合确定</w:t>
      </w:r>
      <w:r>
        <w:rPr>
          <w:rFonts w:hint="eastAsia"/>
          <w:color w:val="auto"/>
          <w:highlight w:val="none"/>
          <w:lang w:val="en-US" w:eastAsia="zh-CN"/>
        </w:rPr>
        <w:t>。实际情况</w:t>
      </w:r>
      <w:r>
        <w:rPr>
          <w:rFonts w:hint="default"/>
          <w:color w:val="auto"/>
          <w:highlight w:val="none"/>
          <w:lang w:val="en-US" w:eastAsia="zh-CN"/>
        </w:rPr>
        <w:t>中，渣土的产生量是一个难以预测的变量。它不仅取决于工程的规模和类型，还受到地质条件、施工方法、材料使用效率以及环境保护政策等多重因素的影响。地质条件的不确定性，如土壤的密度和湿度，可以显著影响挖掘过程中产生的渣土量。施工技术的选择，例如使用机械化挖掘还是手工挖掘，也会对渣土的产量产生影响。此外，材料的浪费和再利用策略也会对渣土的总量产生间接影响。环保法规要求对渣土进行适当的处理和处置，这不仅增加了预测的复杂性，也对渣土管理提出了更高的要求。</w:t>
      </w:r>
      <w:r>
        <w:rPr>
          <w:rFonts w:hint="eastAsia"/>
          <w:color w:val="auto"/>
          <w:highlight w:val="none"/>
          <w:lang w:val="en-US" w:eastAsia="zh-CN"/>
        </w:rPr>
        <w:t>目前没有对工程渣土预测的科学统一的方法</w:t>
      </w:r>
      <w:r>
        <w:rPr>
          <w:rFonts w:hint="default"/>
          <w:color w:val="auto"/>
          <w:highlight w:val="none"/>
          <w:lang w:val="en-US" w:eastAsia="zh-CN"/>
        </w:rPr>
        <w:t>，</w:t>
      </w:r>
      <w:r>
        <w:rPr>
          <w:rFonts w:hint="eastAsia"/>
          <w:color w:val="auto"/>
          <w:highlight w:val="none"/>
          <w:lang w:val="en-US" w:eastAsia="zh-CN"/>
        </w:rPr>
        <w:t>使得</w:t>
      </w:r>
      <w:r>
        <w:rPr>
          <w:rFonts w:hint="default"/>
          <w:color w:val="auto"/>
          <w:highlight w:val="none"/>
          <w:lang w:val="en-US" w:eastAsia="zh-CN"/>
        </w:rPr>
        <w:t>渣土的实际产生量往往与预测值存在</w:t>
      </w:r>
      <w:r>
        <w:rPr>
          <w:rFonts w:hint="eastAsia"/>
          <w:color w:val="auto"/>
          <w:highlight w:val="none"/>
          <w:lang w:val="en-US" w:eastAsia="zh-CN"/>
        </w:rPr>
        <w:t>较大偏差</w:t>
      </w:r>
      <w:r>
        <w:rPr>
          <w:rFonts w:hint="default"/>
          <w:color w:val="auto"/>
          <w:highlight w:val="none"/>
          <w:lang w:val="en-US" w:eastAsia="zh-CN"/>
        </w:rPr>
        <w:t>，</w:t>
      </w:r>
      <w:r>
        <w:rPr>
          <w:rFonts w:hint="eastAsia"/>
          <w:color w:val="auto"/>
          <w:highlight w:val="none"/>
          <w:lang w:val="en-US" w:eastAsia="zh-CN"/>
        </w:rPr>
        <w:t>故本次规划不进行渣土及泥浆产生量的预测</w:t>
      </w:r>
      <w:r>
        <w:rPr>
          <w:rFonts w:hint="default"/>
          <w:color w:val="auto"/>
          <w:highlight w:val="none"/>
          <w:lang w:val="en-US" w:eastAsia="zh-CN"/>
        </w:rPr>
        <w:t>。</w:t>
      </w:r>
    </w:p>
    <w:p w14:paraId="397E38E7">
      <w:pPr>
        <w:pStyle w:val="4"/>
        <w:bidi w:val="0"/>
        <w:rPr>
          <w:rFonts w:hint="default"/>
          <w:color w:val="auto"/>
          <w:lang w:val="en-US" w:eastAsia="zh-CN"/>
        </w:rPr>
      </w:pPr>
      <w:bookmarkStart w:id="41" w:name="_Toc17947"/>
      <w:r>
        <w:rPr>
          <w:rFonts w:hint="eastAsia"/>
          <w:color w:val="auto"/>
          <w:lang w:val="en-US" w:eastAsia="zh-CN"/>
        </w:rPr>
        <w:t>4.1.2 工程垃圾预测</w:t>
      </w:r>
      <w:bookmarkEnd w:id="41"/>
    </w:p>
    <w:p w14:paraId="4020D405">
      <w:pPr>
        <w:bidi w:val="0"/>
        <w:rPr>
          <w:rFonts w:hint="eastAsia"/>
          <w:color w:val="auto"/>
          <w:highlight w:val="none"/>
          <w:lang w:val="en-US" w:eastAsia="zh-CN"/>
        </w:rPr>
      </w:pPr>
      <w:r>
        <w:rPr>
          <w:rFonts w:hint="eastAsia"/>
          <w:color w:val="auto"/>
          <w:highlight w:val="none"/>
          <w:lang w:val="en-US" w:eastAsia="zh-CN"/>
        </w:rPr>
        <w:t>（1）相关规划、文件、对工程垃圾产生量的相关要求</w:t>
      </w:r>
    </w:p>
    <w:p w14:paraId="3426E521">
      <w:pPr>
        <w:bidi w:val="0"/>
        <w:rPr>
          <w:rFonts w:hint="eastAsia"/>
          <w:color w:val="auto"/>
          <w:lang w:val="en-US" w:eastAsia="zh-CN"/>
        </w:rPr>
      </w:pPr>
      <w:r>
        <w:rPr>
          <w:rFonts w:hint="eastAsia"/>
          <w:color w:val="auto"/>
          <w:lang w:val="en-US" w:eastAsia="zh-CN"/>
        </w:rPr>
        <w:t>《住房和城乡建设部关于推进建筑垃圾减量化的指导意见》（建质〔2020〕46号）的要求：2025年底，各地区建筑垃圾减量化工作机制进一步完善，实现新建建筑施工工地建筑垃圾（不包括工程渣土、工程泥浆）排放量每万平方米不高于300吨，装配式建筑施工工地建筑垃圾（不包括工程渣土、工程泥浆）排放量每万平方米不高于200吨。</w:t>
      </w:r>
    </w:p>
    <w:p w14:paraId="61144955">
      <w:pPr>
        <w:bidi w:val="0"/>
        <w:rPr>
          <w:rFonts w:hint="default"/>
          <w:color w:val="auto"/>
          <w:lang w:val="en-US" w:eastAsia="zh-CN"/>
        </w:rPr>
      </w:pPr>
      <w:r>
        <w:rPr>
          <w:rFonts w:hint="eastAsia"/>
          <w:color w:val="auto"/>
          <w:lang w:val="en-US" w:eastAsia="zh-CN"/>
        </w:rPr>
        <w:t>（2）《建筑垃圾处理技术标准》对工程垃圾的预测方法：</w:t>
      </w:r>
    </w:p>
    <w:p w14:paraId="020AB128">
      <w:pPr>
        <w:bidi w:val="0"/>
        <w:rPr>
          <w:rFonts w:hint="eastAsia"/>
          <w:color w:val="auto"/>
          <w:highlight w:val="none"/>
          <w:lang w:val="en-US" w:eastAsia="zh-CN"/>
        </w:rPr>
      </w:pPr>
      <w:r>
        <w:rPr>
          <w:rFonts w:hint="eastAsia"/>
          <w:color w:val="auto"/>
          <w:highlight w:val="none"/>
          <w:lang w:val="en-US" w:eastAsia="zh-CN"/>
        </w:rPr>
        <w:t>计算方法根据</w:t>
      </w:r>
      <w:bookmarkStart w:id="42" w:name="OLE_LINK4"/>
      <w:r>
        <w:rPr>
          <w:rFonts w:hint="eastAsia"/>
          <w:color w:val="auto"/>
          <w:highlight w:val="none"/>
          <w:lang w:val="en-US" w:eastAsia="zh-CN"/>
        </w:rPr>
        <w:t>《建筑垃圾处理技术标准》</w:t>
      </w:r>
      <w:bookmarkEnd w:id="42"/>
      <w:r>
        <w:rPr>
          <w:rFonts w:hint="eastAsia"/>
          <w:color w:val="auto"/>
          <w:highlight w:val="none"/>
          <w:lang w:val="en-US" w:eastAsia="zh-CN"/>
        </w:rPr>
        <w:t>（CJJ/T134-2019）中4.1产量及规模中规定的方法进行计算，具体计算过程如下：</w:t>
      </w:r>
    </w:p>
    <w:p w14:paraId="0BE5139F">
      <w:pPr>
        <w:bidi w:val="0"/>
        <w:rPr>
          <w:rFonts w:hint="eastAsia"/>
          <w:color w:val="auto"/>
          <w:highlight w:val="none"/>
          <w:lang w:val="en-US" w:eastAsia="zh-CN"/>
        </w:rPr>
      </w:pPr>
      <w:r>
        <w:rPr>
          <w:rFonts w:hint="eastAsia"/>
          <w:color w:val="auto"/>
          <w:highlight w:val="none"/>
          <w:lang w:val="en-US" w:eastAsia="zh-CN"/>
        </w:rPr>
        <w:t>工程垃圾产量可按下式计算：Mg=Rgmg</w:t>
      </w:r>
    </w:p>
    <w:p w14:paraId="172F6B4C">
      <w:pPr>
        <w:bidi w:val="0"/>
        <w:rPr>
          <w:rFonts w:hint="eastAsia"/>
          <w:color w:val="auto"/>
          <w:highlight w:val="none"/>
          <w:lang w:val="en-US" w:eastAsia="zh-CN"/>
        </w:rPr>
      </w:pPr>
      <w:r>
        <w:rPr>
          <w:rFonts w:hint="eastAsia"/>
          <w:color w:val="auto"/>
          <w:highlight w:val="none"/>
          <w:lang w:val="en-US" w:eastAsia="zh-CN"/>
        </w:rPr>
        <w:t>式中：Mg-某城市或区域工程垃圾产生量（t/a）；</w:t>
      </w:r>
    </w:p>
    <w:p w14:paraId="74E7F5CE">
      <w:pPr>
        <w:bidi w:val="0"/>
        <w:rPr>
          <w:rFonts w:hint="eastAsia"/>
          <w:color w:val="auto"/>
          <w:highlight w:val="none"/>
          <w:lang w:val="en-US" w:eastAsia="zh-CN"/>
        </w:rPr>
      </w:pPr>
      <w:r>
        <w:rPr>
          <w:rFonts w:hint="eastAsia"/>
          <w:color w:val="auto"/>
          <w:highlight w:val="none"/>
          <w:lang w:val="en-US" w:eastAsia="zh-CN"/>
        </w:rPr>
        <w:t xml:space="preserve">      Rg-城市或区域新增建筑面积（10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/a）；</w:t>
      </w:r>
    </w:p>
    <w:p w14:paraId="09EA4E9D">
      <w:pPr>
        <w:bidi w:val="0"/>
        <w:ind w:firstLine="1400" w:firstLineChars="500"/>
        <w:rPr>
          <w:rFonts w:hint="eastAsia"/>
          <w:color w:val="auto"/>
          <w:highlight w:val="none"/>
          <w:lang w:val="en-US" w:eastAsia="zh-CN"/>
        </w:rPr>
      </w:pPr>
      <w:r>
        <w:rPr>
          <w:rFonts w:hint="eastAsia"/>
          <w:color w:val="auto"/>
          <w:highlight w:val="none"/>
          <w:lang w:val="en-US" w:eastAsia="zh-CN"/>
        </w:rPr>
        <w:t>mg-单位面积工程垃圾产生量基数（t/10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），可取300t/10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~800t/10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w:t>
      </w:r>
    </w:p>
    <w:p w14:paraId="0F5CDAB3">
      <w:pPr>
        <w:bidi w:val="0"/>
        <w:rPr>
          <w:rFonts w:hint="eastAsia"/>
          <w:color w:val="auto"/>
          <w:highlight w:val="none"/>
          <w:lang w:val="en-US" w:eastAsia="zh-CN"/>
        </w:rPr>
      </w:pPr>
      <w:r>
        <w:rPr>
          <w:rFonts w:hint="eastAsia"/>
          <w:color w:val="auto"/>
          <w:highlight w:val="none"/>
          <w:lang w:val="en-US" w:eastAsia="zh-CN"/>
        </w:rPr>
        <w:t>根据《建筑垃圾处理技术标准》（CJJ/T134-2019）中工程垃圾产生量的计算方法，结合本溪市历年实际情况及政策法规要求，单位面积工程垃圾产生量基数（</w:t>
      </w:r>
      <w:r>
        <w:rPr>
          <w:rFonts w:hint="eastAsia" w:ascii="Times New Roman" w:eastAsia="宋体"/>
          <w:color w:val="auto"/>
          <w:highlight w:val="none"/>
          <w:lang w:val="en-US" w:eastAsia="zh-CN"/>
        </w:rPr>
        <w:t>t/10</w:t>
      </w:r>
      <w:r>
        <w:rPr>
          <w:rFonts w:hint="eastAsia" w:ascii="Times New Roman" w:eastAsia="宋体"/>
          <w:color w:val="auto"/>
          <w:highlight w:val="none"/>
          <w:vertAlign w:val="superscript"/>
          <w:lang w:val="en-US" w:eastAsia="zh-CN"/>
        </w:rPr>
        <w:t>4</w:t>
      </w:r>
      <w:r>
        <w:rPr>
          <w:rFonts w:hint="eastAsia" w:ascii="Times New Roman" w:eastAsia="宋体"/>
          <w:color w:val="auto"/>
          <w:highlight w:val="none"/>
          <w:lang w:val="en-US" w:eastAsia="zh-CN"/>
        </w:rPr>
        <w:t>m</w:t>
      </w:r>
      <w:r>
        <w:rPr>
          <w:rFonts w:hint="eastAsia" w:ascii="Times New Roman" w:eastAsia="宋体"/>
          <w:color w:val="auto"/>
          <w:highlight w:val="none"/>
          <w:vertAlign w:val="superscript"/>
          <w:lang w:val="en-US" w:eastAsia="zh-CN"/>
        </w:rPr>
        <w:t>2</w:t>
      </w:r>
      <w:r>
        <w:rPr>
          <w:rFonts w:hint="eastAsia"/>
          <w:color w:val="auto"/>
          <w:highlight w:val="none"/>
          <w:lang w:val="en-US" w:eastAsia="zh-CN"/>
        </w:rPr>
        <w:t>）取300t/10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w:t>
      </w:r>
    </w:p>
    <w:p w14:paraId="205F25BA">
      <w:pPr>
        <w:bidi w:val="0"/>
        <w:rPr>
          <w:rFonts w:hint="default"/>
          <w:color w:val="auto"/>
          <w:highlight w:val="none"/>
          <w:lang w:val="en-US" w:eastAsia="zh-CN"/>
        </w:rPr>
      </w:pPr>
      <w:r>
        <w:rPr>
          <w:rFonts w:hint="eastAsia"/>
          <w:color w:val="auto"/>
          <w:highlight w:val="none"/>
          <w:lang w:val="en-US" w:eastAsia="zh-CN"/>
        </w:rPr>
        <w:t>根据《本溪市国土空间总体规划（2021—2035年）》显示房屋建筑新开工面积约为2809万平方米。由于近年来建筑行业发展受到多方面因素制约，新开工面积急速下降，建筑垃圾产生量也因此受到影响。本次规划中，根据实际情况，近期新开工面积适当予以减少，远期开工面积适当予以增加。近期每年开工面积为140.45万平方米；远期每年开工面积为280.90万平方米。近期年工程垃圾产生量为4.21万吨；远期年工程垃圾产生量为8.43万吨。</w:t>
      </w:r>
    </w:p>
    <w:p w14:paraId="3A2221E8">
      <w:pPr>
        <w:bidi w:val="0"/>
        <w:rPr>
          <w:rFonts w:hint="default"/>
          <w:color w:val="auto"/>
          <w:lang w:val="en-US" w:eastAsia="zh-CN"/>
        </w:rPr>
      </w:pPr>
      <w:r>
        <w:rPr>
          <w:rFonts w:hint="eastAsia"/>
          <w:color w:val="auto"/>
          <w:highlight w:val="none"/>
          <w:lang w:val="en-US" w:eastAsia="zh-CN"/>
        </w:rPr>
        <w:t>工程垃圾产生量预测如下表所示：</w:t>
      </w:r>
    </w:p>
    <w:p w14:paraId="0EFE8498">
      <w:pPr>
        <w:bidi w:val="0"/>
        <w:ind w:left="0" w:leftChars="0" w:firstLine="0" w:firstLineChars="0"/>
        <w:jc w:val="center"/>
        <w:rPr>
          <w:rFonts w:hint="default"/>
          <w:b/>
          <w:bCs/>
          <w:color w:val="auto"/>
          <w:sz w:val="24"/>
          <w:szCs w:val="20"/>
          <w:highlight w:val="none"/>
          <w:lang w:val="en-US" w:eastAsia="zh-CN"/>
        </w:rPr>
      </w:pPr>
      <w:r>
        <w:rPr>
          <w:rFonts w:hint="eastAsia" w:ascii="Times New Roman" w:eastAsia="宋体"/>
          <w:b/>
          <w:bCs/>
          <w:color w:val="auto"/>
          <w:sz w:val="24"/>
          <w:szCs w:val="20"/>
          <w:highlight w:val="none"/>
          <w:lang w:val="en-US" w:eastAsia="zh-CN"/>
        </w:rPr>
        <w:t>表</w:t>
      </w:r>
      <w:r>
        <w:rPr>
          <w:rFonts w:hint="eastAsia"/>
          <w:b/>
          <w:bCs/>
          <w:color w:val="auto"/>
          <w:sz w:val="24"/>
          <w:szCs w:val="20"/>
          <w:highlight w:val="none"/>
          <w:lang w:val="en-US" w:eastAsia="zh-CN"/>
        </w:rPr>
        <w:t>4</w:t>
      </w:r>
      <w:r>
        <w:rPr>
          <w:rFonts w:hint="eastAsia" w:ascii="Times New Roman" w:eastAsia="宋体"/>
          <w:b/>
          <w:bCs/>
          <w:color w:val="auto"/>
          <w:sz w:val="24"/>
          <w:szCs w:val="20"/>
          <w:highlight w:val="none"/>
          <w:lang w:val="en-US" w:eastAsia="zh-CN"/>
        </w:rPr>
        <w:t>.</w:t>
      </w:r>
      <w:r>
        <w:rPr>
          <w:rFonts w:hint="eastAsia"/>
          <w:b/>
          <w:bCs/>
          <w:color w:val="auto"/>
          <w:sz w:val="24"/>
          <w:szCs w:val="20"/>
          <w:highlight w:val="none"/>
          <w:lang w:val="en-US" w:eastAsia="zh-CN"/>
        </w:rPr>
        <w:t>1</w:t>
      </w:r>
      <w:r>
        <w:rPr>
          <w:rFonts w:hint="eastAsia" w:ascii="Times New Roman" w:eastAsia="宋体"/>
          <w:b/>
          <w:bCs/>
          <w:color w:val="auto"/>
          <w:sz w:val="24"/>
          <w:szCs w:val="20"/>
          <w:highlight w:val="none"/>
          <w:lang w:val="en-US" w:eastAsia="zh-CN"/>
        </w:rPr>
        <w:t>-</w:t>
      </w:r>
      <w:r>
        <w:rPr>
          <w:rFonts w:hint="eastAsia"/>
          <w:b/>
          <w:bCs/>
          <w:color w:val="auto"/>
          <w:sz w:val="24"/>
          <w:szCs w:val="20"/>
          <w:highlight w:val="none"/>
          <w:lang w:val="en-US" w:eastAsia="zh-CN"/>
        </w:rPr>
        <w:t>1 本溪市</w:t>
      </w:r>
      <w:r>
        <w:rPr>
          <w:rFonts w:hint="eastAsia" w:ascii="Times New Roman" w:eastAsia="宋体"/>
          <w:b/>
          <w:bCs/>
          <w:color w:val="auto"/>
          <w:sz w:val="24"/>
          <w:szCs w:val="20"/>
          <w:highlight w:val="none"/>
          <w:lang w:val="en-US" w:eastAsia="zh-CN"/>
        </w:rPr>
        <w:t>工程</w:t>
      </w:r>
      <w:r>
        <w:rPr>
          <w:rFonts w:hint="eastAsia"/>
          <w:b/>
          <w:bCs/>
          <w:color w:val="auto"/>
          <w:sz w:val="24"/>
          <w:szCs w:val="20"/>
          <w:highlight w:val="none"/>
          <w:lang w:val="en-US" w:eastAsia="zh-CN"/>
        </w:rPr>
        <w:t>垃圾</w:t>
      </w:r>
      <w:r>
        <w:rPr>
          <w:rFonts w:hint="eastAsia" w:ascii="Times New Roman" w:eastAsia="宋体"/>
          <w:b/>
          <w:bCs/>
          <w:color w:val="auto"/>
          <w:sz w:val="24"/>
          <w:szCs w:val="20"/>
          <w:highlight w:val="none"/>
          <w:lang w:val="en-US" w:eastAsia="zh-CN"/>
        </w:rPr>
        <w:t>预测量</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9"/>
        <w:gridCol w:w="3490"/>
        <w:gridCol w:w="3490"/>
      </w:tblGrid>
      <w:tr w14:paraId="1D22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9" w:type="dxa"/>
            <w:vAlign w:val="center"/>
          </w:tcPr>
          <w:p w14:paraId="6A89EB50">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年份</w:t>
            </w:r>
          </w:p>
        </w:tc>
        <w:tc>
          <w:tcPr>
            <w:tcW w:w="3490" w:type="dxa"/>
            <w:vAlign w:val="center"/>
          </w:tcPr>
          <w:p w14:paraId="33B6DC10">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新开工面积（万平方米</w:t>
            </w:r>
            <w:r>
              <w:rPr>
                <w:rFonts w:hint="eastAsia"/>
                <w:color w:val="auto"/>
                <w:sz w:val="24"/>
                <w:szCs w:val="20"/>
                <w:highlight w:val="none"/>
                <w:vertAlign w:val="baseline"/>
                <w:lang w:val="en-US" w:eastAsia="zh-CN"/>
              </w:rPr>
              <w:t>/年</w:t>
            </w:r>
            <w:r>
              <w:rPr>
                <w:rFonts w:hint="eastAsia" w:ascii="Times New Roman" w:eastAsia="宋体"/>
                <w:color w:val="auto"/>
                <w:sz w:val="24"/>
                <w:szCs w:val="20"/>
                <w:highlight w:val="none"/>
                <w:vertAlign w:val="baseline"/>
                <w:lang w:val="en-US" w:eastAsia="zh-CN"/>
              </w:rPr>
              <w:t>）</w:t>
            </w:r>
          </w:p>
        </w:tc>
        <w:tc>
          <w:tcPr>
            <w:tcW w:w="3490" w:type="dxa"/>
            <w:vAlign w:val="center"/>
          </w:tcPr>
          <w:p w14:paraId="1594BE93">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工程</w:t>
            </w:r>
            <w:r>
              <w:rPr>
                <w:rFonts w:hint="eastAsia"/>
                <w:color w:val="auto"/>
                <w:sz w:val="24"/>
                <w:szCs w:val="20"/>
                <w:highlight w:val="none"/>
                <w:vertAlign w:val="baseline"/>
                <w:lang w:val="en-US" w:eastAsia="zh-CN"/>
              </w:rPr>
              <w:t>垃圾产量</w:t>
            </w:r>
            <w:r>
              <w:rPr>
                <w:rFonts w:hint="eastAsia" w:ascii="Times New Roman" w:eastAsia="宋体"/>
                <w:color w:val="auto"/>
                <w:sz w:val="24"/>
                <w:szCs w:val="20"/>
                <w:highlight w:val="none"/>
                <w:vertAlign w:val="baseline"/>
                <w:lang w:val="en-US" w:eastAsia="zh-CN"/>
              </w:rPr>
              <w:t>（万吨/年）</w:t>
            </w:r>
          </w:p>
        </w:tc>
      </w:tr>
      <w:tr w14:paraId="13FE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89" w:type="dxa"/>
            <w:vAlign w:val="center"/>
          </w:tcPr>
          <w:p w14:paraId="0C44B5CB">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2030年（近期）</w:t>
            </w:r>
          </w:p>
        </w:tc>
        <w:tc>
          <w:tcPr>
            <w:tcW w:w="3490" w:type="dxa"/>
            <w:vAlign w:val="center"/>
          </w:tcPr>
          <w:p w14:paraId="42AD81BC">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 xml:space="preserve">140.45 </w:t>
            </w:r>
          </w:p>
        </w:tc>
        <w:tc>
          <w:tcPr>
            <w:tcW w:w="3490" w:type="dxa"/>
            <w:vAlign w:val="center"/>
          </w:tcPr>
          <w:p w14:paraId="7C61A975">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4.21</w:t>
            </w:r>
          </w:p>
        </w:tc>
      </w:tr>
      <w:tr w14:paraId="2397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9" w:type="dxa"/>
            <w:vAlign w:val="center"/>
          </w:tcPr>
          <w:p w14:paraId="1B3CEDD9">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2035年（远期）</w:t>
            </w:r>
          </w:p>
        </w:tc>
        <w:tc>
          <w:tcPr>
            <w:tcW w:w="3490" w:type="dxa"/>
            <w:vAlign w:val="center"/>
          </w:tcPr>
          <w:p w14:paraId="7A5878DE">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 xml:space="preserve">280.90 </w:t>
            </w:r>
          </w:p>
        </w:tc>
        <w:tc>
          <w:tcPr>
            <w:tcW w:w="3490" w:type="dxa"/>
            <w:vAlign w:val="center"/>
          </w:tcPr>
          <w:p w14:paraId="0A913C57">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8.43</w:t>
            </w:r>
          </w:p>
        </w:tc>
      </w:tr>
    </w:tbl>
    <w:p w14:paraId="22DA861D">
      <w:pPr>
        <w:pStyle w:val="4"/>
        <w:bidi w:val="0"/>
        <w:rPr>
          <w:rFonts w:hint="default"/>
          <w:color w:val="auto"/>
          <w:lang w:val="en-US" w:eastAsia="zh-CN"/>
        </w:rPr>
      </w:pPr>
      <w:bookmarkStart w:id="43" w:name="_Toc26786"/>
      <w:r>
        <w:rPr>
          <w:rFonts w:hint="eastAsia"/>
          <w:color w:val="auto"/>
          <w:lang w:val="en-US" w:eastAsia="zh-CN"/>
        </w:rPr>
        <w:t>4.1.3 拆除垃圾预测</w:t>
      </w:r>
      <w:bookmarkEnd w:id="43"/>
    </w:p>
    <w:p w14:paraId="501FA930">
      <w:pPr>
        <w:bidi w:val="0"/>
        <w:rPr>
          <w:rFonts w:hint="eastAsia"/>
          <w:color w:val="auto"/>
          <w:highlight w:val="none"/>
          <w:lang w:val="en-US" w:eastAsia="zh-CN"/>
        </w:rPr>
      </w:pPr>
      <w:r>
        <w:rPr>
          <w:rFonts w:hint="eastAsia"/>
          <w:color w:val="auto"/>
          <w:highlight w:val="none"/>
          <w:lang w:val="en-US" w:eastAsia="zh-CN"/>
        </w:rPr>
        <w:t>计算方法根据《建筑垃圾处理技术标准》（CJJ/T134-2019）中4.1产量及规模中规定的方法进行计算，具体计算过程如下：</w:t>
      </w:r>
    </w:p>
    <w:p w14:paraId="43A45BEF">
      <w:pPr>
        <w:bidi w:val="0"/>
        <w:rPr>
          <w:rFonts w:hint="eastAsia"/>
          <w:color w:val="auto"/>
          <w:highlight w:val="none"/>
          <w:lang w:val="en-US" w:eastAsia="zh-CN"/>
        </w:rPr>
      </w:pPr>
      <w:r>
        <w:rPr>
          <w:rFonts w:hint="eastAsia"/>
          <w:color w:val="auto"/>
          <w:highlight w:val="none"/>
          <w:lang w:val="en-US" w:eastAsia="zh-CN"/>
        </w:rPr>
        <w:t>拆除垃圾产量可按下式计算：Mc=Rcmc</w:t>
      </w:r>
    </w:p>
    <w:p w14:paraId="7C1B8F79">
      <w:pPr>
        <w:bidi w:val="0"/>
        <w:rPr>
          <w:rFonts w:hint="eastAsia"/>
          <w:color w:val="auto"/>
          <w:highlight w:val="none"/>
          <w:lang w:val="en-US" w:eastAsia="zh-CN"/>
        </w:rPr>
      </w:pPr>
      <w:r>
        <w:rPr>
          <w:rFonts w:hint="eastAsia"/>
          <w:color w:val="auto"/>
          <w:highlight w:val="none"/>
          <w:lang w:val="en-US" w:eastAsia="zh-CN"/>
        </w:rPr>
        <w:t>式中：Mc－某城市或区域拆除垃圾产生量（t/a）；</w:t>
      </w:r>
    </w:p>
    <w:p w14:paraId="149CF24B">
      <w:pPr>
        <w:bidi w:val="0"/>
        <w:rPr>
          <w:rFonts w:hint="eastAsia"/>
          <w:color w:val="auto"/>
          <w:highlight w:val="none"/>
          <w:lang w:val="en-US" w:eastAsia="zh-CN"/>
        </w:rPr>
      </w:pPr>
      <w:r>
        <w:rPr>
          <w:rFonts w:hint="eastAsia"/>
          <w:color w:val="auto"/>
          <w:highlight w:val="none"/>
          <w:lang w:val="en-US" w:eastAsia="zh-CN"/>
        </w:rPr>
        <w:t xml:space="preserve">      Rc-城市或区域新增</w:t>
      </w:r>
      <w:bookmarkStart w:id="44" w:name="OLE_LINK3"/>
      <w:r>
        <w:rPr>
          <w:rFonts w:hint="eastAsia"/>
          <w:color w:val="auto"/>
          <w:highlight w:val="none"/>
          <w:lang w:val="en-US" w:eastAsia="zh-CN"/>
        </w:rPr>
        <w:t>拆除</w:t>
      </w:r>
      <w:bookmarkEnd w:id="44"/>
      <w:r>
        <w:rPr>
          <w:rFonts w:hint="eastAsia"/>
          <w:color w:val="auto"/>
          <w:highlight w:val="none"/>
          <w:lang w:val="en-US" w:eastAsia="zh-CN"/>
        </w:rPr>
        <w:t>面积（10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/a）；</w:t>
      </w:r>
    </w:p>
    <w:p w14:paraId="1C92E4EE">
      <w:pPr>
        <w:bidi w:val="0"/>
        <w:ind w:firstLine="1400" w:firstLineChars="500"/>
        <w:rPr>
          <w:rFonts w:hint="eastAsia"/>
          <w:color w:val="auto"/>
          <w:highlight w:val="none"/>
          <w:lang w:val="en-US" w:eastAsia="zh-CN"/>
        </w:rPr>
      </w:pPr>
      <w:r>
        <w:rPr>
          <w:rFonts w:hint="eastAsia"/>
          <w:color w:val="auto"/>
          <w:highlight w:val="none"/>
          <w:lang w:val="en-US" w:eastAsia="zh-CN"/>
        </w:rPr>
        <w:t>mc-单位面积拆除垃圾产生量基数（t/10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），可取8000t/10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 xml:space="preserve"> ~13000t/10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w:t>
      </w:r>
    </w:p>
    <w:p w14:paraId="6CBD332F">
      <w:pPr>
        <w:bidi w:val="0"/>
        <w:rPr>
          <w:rFonts w:hint="eastAsia"/>
          <w:color w:val="auto"/>
          <w:highlight w:val="none"/>
          <w:lang w:val="en-US" w:eastAsia="zh-CN"/>
        </w:rPr>
      </w:pPr>
      <w:r>
        <w:rPr>
          <w:rFonts w:hint="eastAsia"/>
          <w:color w:val="auto"/>
          <w:highlight w:val="none"/>
          <w:lang w:val="en-US" w:eastAsia="zh-CN"/>
        </w:rPr>
        <w:t>根据《建筑垃圾处理技术标准》（CJJ/T134-2019）中拆除垃圾产生量的计算方法，结合本溪市历年实际情况：单位面积拆除垃圾产生量基数（t/10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）取11000t/10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w:t>
      </w:r>
    </w:p>
    <w:p w14:paraId="530AA867">
      <w:pPr>
        <w:bidi w:val="0"/>
        <w:rPr>
          <w:rFonts w:hint="eastAsia"/>
          <w:color w:val="auto"/>
          <w:highlight w:val="none"/>
          <w:lang w:val="en-US" w:eastAsia="zh-CN"/>
        </w:rPr>
      </w:pPr>
      <w:r>
        <w:rPr>
          <w:rFonts w:hint="eastAsia"/>
          <w:color w:val="auto"/>
          <w:lang w:val="en-US" w:eastAsia="zh-CN"/>
        </w:rPr>
        <w:t>根据《本溪市国土空间总体规划（2021—2035年）》显示房屋建筑拆除面积约为</w:t>
      </w:r>
      <w:r>
        <w:rPr>
          <w:rFonts w:hint="eastAsia"/>
          <w:color w:val="auto"/>
          <w:highlight w:val="none"/>
          <w:lang w:val="en-US" w:eastAsia="zh-CN"/>
        </w:rPr>
        <w:t>348.55万平方米</w:t>
      </w:r>
      <w:r>
        <w:rPr>
          <w:rFonts w:hint="eastAsia"/>
          <w:color w:val="auto"/>
          <w:lang w:val="en-US" w:eastAsia="zh-CN"/>
        </w:rPr>
        <w:t>。由于近年来建筑行业发展不如以往，拆除面积急速下降，建筑垃圾产生量也因此受到影响。本次规划中近期拆除面积适当予以减少，远期拆除面积适当予以增加。近期每年拆除面积为17.43万平方米；远期每年拆除面积为34.85万平方米。近期年拆除垃圾产生量为19.17万吨；远期年拆除垃圾产生量为38.34万吨。</w:t>
      </w:r>
    </w:p>
    <w:p w14:paraId="61C3B8FD">
      <w:pPr>
        <w:bidi w:val="0"/>
        <w:rPr>
          <w:rFonts w:hint="eastAsia"/>
          <w:color w:val="auto"/>
          <w:highlight w:val="none"/>
          <w:lang w:val="en-US" w:eastAsia="zh-CN"/>
        </w:rPr>
      </w:pPr>
      <w:r>
        <w:rPr>
          <w:rFonts w:hint="eastAsia"/>
          <w:color w:val="auto"/>
          <w:highlight w:val="none"/>
          <w:lang w:val="en-US" w:eastAsia="zh-CN"/>
        </w:rPr>
        <w:t>拆除垃圾产生量如下表所示：</w:t>
      </w:r>
    </w:p>
    <w:p w14:paraId="4E75FBC4">
      <w:pPr>
        <w:bidi w:val="0"/>
        <w:ind w:left="0" w:leftChars="0" w:firstLine="0" w:firstLineChars="0"/>
        <w:jc w:val="center"/>
        <w:rPr>
          <w:rFonts w:hint="default"/>
          <w:b/>
          <w:bCs/>
          <w:color w:val="auto"/>
          <w:sz w:val="24"/>
          <w:szCs w:val="20"/>
          <w:highlight w:val="none"/>
          <w:lang w:val="en-US" w:eastAsia="zh-CN"/>
        </w:rPr>
      </w:pPr>
      <w:r>
        <w:rPr>
          <w:rFonts w:hint="eastAsia" w:ascii="Times New Roman" w:eastAsia="宋体"/>
          <w:b/>
          <w:bCs/>
          <w:color w:val="auto"/>
          <w:sz w:val="24"/>
          <w:szCs w:val="20"/>
          <w:highlight w:val="none"/>
          <w:lang w:val="en-US" w:eastAsia="zh-CN"/>
        </w:rPr>
        <w:t>表</w:t>
      </w:r>
      <w:r>
        <w:rPr>
          <w:rFonts w:hint="eastAsia"/>
          <w:b/>
          <w:bCs/>
          <w:color w:val="auto"/>
          <w:sz w:val="24"/>
          <w:szCs w:val="20"/>
          <w:highlight w:val="none"/>
          <w:lang w:val="en-US" w:eastAsia="zh-CN"/>
        </w:rPr>
        <w:t>4</w:t>
      </w:r>
      <w:r>
        <w:rPr>
          <w:rFonts w:hint="eastAsia" w:ascii="Times New Roman" w:eastAsia="宋体"/>
          <w:b/>
          <w:bCs/>
          <w:color w:val="auto"/>
          <w:sz w:val="24"/>
          <w:szCs w:val="20"/>
          <w:highlight w:val="none"/>
          <w:lang w:val="en-US" w:eastAsia="zh-CN"/>
        </w:rPr>
        <w:t>.</w:t>
      </w:r>
      <w:r>
        <w:rPr>
          <w:rFonts w:hint="eastAsia"/>
          <w:b/>
          <w:bCs/>
          <w:color w:val="auto"/>
          <w:sz w:val="24"/>
          <w:szCs w:val="20"/>
          <w:highlight w:val="none"/>
          <w:lang w:val="en-US" w:eastAsia="zh-CN"/>
        </w:rPr>
        <w:t>1</w:t>
      </w:r>
      <w:r>
        <w:rPr>
          <w:rFonts w:hint="eastAsia" w:ascii="Times New Roman" w:eastAsia="宋体"/>
          <w:b/>
          <w:bCs/>
          <w:color w:val="auto"/>
          <w:sz w:val="24"/>
          <w:szCs w:val="20"/>
          <w:highlight w:val="none"/>
          <w:lang w:val="en-US" w:eastAsia="zh-CN"/>
        </w:rPr>
        <w:t>-</w:t>
      </w:r>
      <w:r>
        <w:rPr>
          <w:rFonts w:hint="eastAsia"/>
          <w:b/>
          <w:bCs/>
          <w:color w:val="auto"/>
          <w:sz w:val="24"/>
          <w:szCs w:val="20"/>
          <w:highlight w:val="none"/>
          <w:lang w:val="en-US" w:eastAsia="zh-CN"/>
        </w:rPr>
        <w:t>2</w:t>
      </w:r>
      <w:r>
        <w:rPr>
          <w:rFonts w:hint="eastAsia" w:ascii="Times New Roman" w:eastAsia="宋体"/>
          <w:b/>
          <w:bCs/>
          <w:color w:val="auto"/>
          <w:sz w:val="24"/>
          <w:szCs w:val="20"/>
          <w:highlight w:val="none"/>
          <w:lang w:val="en-US" w:eastAsia="zh-CN"/>
        </w:rPr>
        <w:t xml:space="preserve"> </w:t>
      </w:r>
      <w:r>
        <w:rPr>
          <w:rFonts w:hint="eastAsia"/>
          <w:b/>
          <w:bCs/>
          <w:color w:val="auto"/>
          <w:sz w:val="24"/>
          <w:szCs w:val="20"/>
          <w:highlight w:val="none"/>
          <w:lang w:val="en-US" w:eastAsia="zh-CN"/>
        </w:rPr>
        <w:t>本溪市拆除</w:t>
      </w:r>
      <w:r>
        <w:rPr>
          <w:rFonts w:hint="eastAsia" w:ascii="Times New Roman" w:eastAsia="宋体"/>
          <w:b/>
          <w:bCs/>
          <w:color w:val="auto"/>
          <w:sz w:val="24"/>
          <w:szCs w:val="20"/>
          <w:highlight w:val="none"/>
          <w:lang w:val="en-US" w:eastAsia="zh-CN"/>
        </w:rPr>
        <w:t>垃圾预测量</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9"/>
        <w:gridCol w:w="3490"/>
        <w:gridCol w:w="3490"/>
      </w:tblGrid>
      <w:tr w14:paraId="1C9A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9" w:type="dxa"/>
            <w:vAlign w:val="center"/>
          </w:tcPr>
          <w:p w14:paraId="78DB7F9B">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年份</w:t>
            </w:r>
          </w:p>
        </w:tc>
        <w:tc>
          <w:tcPr>
            <w:tcW w:w="3490" w:type="dxa"/>
            <w:vAlign w:val="center"/>
          </w:tcPr>
          <w:p w14:paraId="7F772DA2">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拆除</w:t>
            </w:r>
            <w:r>
              <w:rPr>
                <w:rFonts w:hint="eastAsia" w:ascii="Times New Roman" w:eastAsia="宋体"/>
                <w:color w:val="auto"/>
                <w:sz w:val="24"/>
                <w:szCs w:val="20"/>
                <w:highlight w:val="none"/>
                <w:vertAlign w:val="baseline"/>
                <w:lang w:val="en-US" w:eastAsia="zh-CN"/>
              </w:rPr>
              <w:t>面积（万平方米/年）</w:t>
            </w:r>
          </w:p>
        </w:tc>
        <w:tc>
          <w:tcPr>
            <w:tcW w:w="3490" w:type="dxa"/>
            <w:vAlign w:val="center"/>
          </w:tcPr>
          <w:p w14:paraId="0A5FDD30">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拆除</w:t>
            </w:r>
            <w:r>
              <w:rPr>
                <w:rFonts w:hint="eastAsia" w:ascii="Times New Roman" w:eastAsia="宋体"/>
                <w:color w:val="auto"/>
                <w:sz w:val="24"/>
                <w:szCs w:val="20"/>
                <w:highlight w:val="none"/>
                <w:vertAlign w:val="baseline"/>
                <w:lang w:val="en-US" w:eastAsia="zh-CN"/>
              </w:rPr>
              <w:t>垃圾产量（万吨/年）</w:t>
            </w:r>
          </w:p>
        </w:tc>
      </w:tr>
      <w:tr w14:paraId="5214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9" w:type="dxa"/>
            <w:vAlign w:val="center"/>
          </w:tcPr>
          <w:p w14:paraId="31D2EF76">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2030年（近期）</w:t>
            </w:r>
          </w:p>
        </w:tc>
        <w:tc>
          <w:tcPr>
            <w:tcW w:w="3490" w:type="dxa"/>
            <w:vAlign w:val="center"/>
          </w:tcPr>
          <w:p w14:paraId="78EFB458">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 xml:space="preserve">17.43 </w:t>
            </w:r>
          </w:p>
        </w:tc>
        <w:tc>
          <w:tcPr>
            <w:tcW w:w="3490" w:type="dxa"/>
            <w:vAlign w:val="center"/>
          </w:tcPr>
          <w:p w14:paraId="78B76832">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19.17</w:t>
            </w:r>
          </w:p>
        </w:tc>
      </w:tr>
      <w:tr w14:paraId="3E2F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9" w:type="dxa"/>
            <w:vAlign w:val="center"/>
          </w:tcPr>
          <w:p w14:paraId="33041291">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2035年（远期）</w:t>
            </w:r>
          </w:p>
        </w:tc>
        <w:tc>
          <w:tcPr>
            <w:tcW w:w="3490" w:type="dxa"/>
            <w:vAlign w:val="center"/>
          </w:tcPr>
          <w:p w14:paraId="33104EAC">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 xml:space="preserve">34.85 </w:t>
            </w:r>
          </w:p>
        </w:tc>
        <w:tc>
          <w:tcPr>
            <w:tcW w:w="3490" w:type="dxa"/>
            <w:vAlign w:val="center"/>
          </w:tcPr>
          <w:p w14:paraId="4348C8F3">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38.34</w:t>
            </w:r>
          </w:p>
        </w:tc>
      </w:tr>
    </w:tbl>
    <w:p w14:paraId="6DB77054">
      <w:pPr>
        <w:bidi w:val="0"/>
        <w:ind w:left="0" w:leftChars="0" w:firstLine="0" w:firstLineChars="0"/>
        <w:rPr>
          <w:rFonts w:hint="default"/>
          <w:color w:val="auto"/>
          <w:sz w:val="4"/>
          <w:szCs w:val="2"/>
          <w:highlight w:val="none"/>
          <w:lang w:val="en-US" w:eastAsia="zh-CN"/>
        </w:rPr>
      </w:pPr>
    </w:p>
    <w:p w14:paraId="5BBBB547">
      <w:pPr>
        <w:pStyle w:val="4"/>
        <w:bidi w:val="0"/>
        <w:rPr>
          <w:rFonts w:hint="default"/>
          <w:color w:val="auto"/>
          <w:lang w:val="en-US" w:eastAsia="zh-CN"/>
        </w:rPr>
      </w:pPr>
      <w:bookmarkStart w:id="45" w:name="_Toc25735"/>
      <w:r>
        <w:rPr>
          <w:rFonts w:hint="eastAsia"/>
          <w:color w:val="auto"/>
          <w:lang w:val="en-US" w:eastAsia="zh-CN"/>
        </w:rPr>
        <w:t>4.1.4 装修垃圾预测</w:t>
      </w:r>
      <w:bookmarkEnd w:id="45"/>
    </w:p>
    <w:p w14:paraId="10559D36">
      <w:pPr>
        <w:bidi w:val="0"/>
        <w:rPr>
          <w:rFonts w:hint="eastAsia"/>
          <w:color w:val="auto"/>
          <w:highlight w:val="none"/>
          <w:lang w:val="en-US" w:eastAsia="zh-CN"/>
        </w:rPr>
      </w:pPr>
      <w:r>
        <w:rPr>
          <w:rFonts w:hint="eastAsia"/>
          <w:color w:val="auto"/>
          <w:highlight w:val="none"/>
          <w:lang w:val="en-US" w:eastAsia="zh-CN"/>
        </w:rPr>
        <w:t>计算方法根据《建筑垃圾处理技术标准》（CJJ/T134-2019）中4.1产量及规模中规定的方法进行计算，具体计算过程如下：</w:t>
      </w:r>
    </w:p>
    <w:p w14:paraId="2791AC02">
      <w:pPr>
        <w:bidi w:val="0"/>
        <w:rPr>
          <w:rFonts w:hint="eastAsia"/>
          <w:color w:val="auto"/>
          <w:highlight w:val="none"/>
          <w:lang w:val="en-US" w:eastAsia="zh-CN"/>
        </w:rPr>
      </w:pPr>
      <w:r>
        <w:rPr>
          <w:rFonts w:hint="eastAsia"/>
          <w:color w:val="auto"/>
          <w:highlight w:val="none"/>
          <w:lang w:val="en-US" w:eastAsia="zh-CN"/>
        </w:rPr>
        <w:t>装修垃圾产生量可按下式计算：Mz=Rzmz</w:t>
      </w:r>
    </w:p>
    <w:p w14:paraId="01966E1C">
      <w:pPr>
        <w:bidi w:val="0"/>
        <w:rPr>
          <w:rFonts w:hint="eastAsia"/>
          <w:color w:val="auto"/>
          <w:highlight w:val="none"/>
          <w:lang w:val="en-US" w:eastAsia="zh-CN"/>
        </w:rPr>
      </w:pPr>
      <w:r>
        <w:rPr>
          <w:rFonts w:hint="eastAsia"/>
          <w:color w:val="auto"/>
          <w:highlight w:val="none"/>
          <w:lang w:val="en-US" w:eastAsia="zh-CN"/>
        </w:rPr>
        <w:t>式中：Mz-某城市或区域装修垃圾产生量（t/a）；</w:t>
      </w:r>
    </w:p>
    <w:p w14:paraId="4F027C17">
      <w:pPr>
        <w:bidi w:val="0"/>
        <w:rPr>
          <w:rFonts w:hint="eastAsia"/>
          <w:color w:val="auto"/>
          <w:highlight w:val="none"/>
          <w:lang w:val="en-US" w:eastAsia="zh-CN"/>
        </w:rPr>
      </w:pPr>
      <w:r>
        <w:rPr>
          <w:rFonts w:hint="eastAsia"/>
          <w:color w:val="auto"/>
          <w:highlight w:val="none"/>
          <w:lang w:val="en-US" w:eastAsia="zh-CN"/>
        </w:rPr>
        <w:t xml:space="preserve">      Rz-城市或区域居民户数（10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val="en-US" w:eastAsia="zh-CN"/>
        </w:rPr>
        <w:t>/a）；</w:t>
      </w:r>
    </w:p>
    <w:p w14:paraId="421E2F71">
      <w:pPr>
        <w:bidi w:val="0"/>
        <w:ind w:firstLine="1400" w:firstLineChars="500"/>
        <w:rPr>
          <w:rFonts w:hint="eastAsia"/>
          <w:color w:val="auto"/>
          <w:highlight w:val="none"/>
          <w:lang w:val="en-US" w:eastAsia="zh-CN"/>
        </w:rPr>
      </w:pPr>
      <w:r>
        <w:rPr>
          <w:rFonts w:hint="eastAsia"/>
          <w:color w:val="auto"/>
          <w:highlight w:val="none"/>
          <w:lang w:val="en-US" w:eastAsia="zh-CN"/>
        </w:rPr>
        <w:t>mz-单位户数装修垃圾产生量基数[t/（户·a）]，可取0.5t/（户·a）～1.0t/（户·a）。</w:t>
      </w:r>
    </w:p>
    <w:p w14:paraId="2B2A2D8B">
      <w:pPr>
        <w:bidi w:val="0"/>
        <w:rPr>
          <w:rFonts w:hint="default"/>
          <w:color w:val="auto"/>
          <w:highlight w:val="none"/>
          <w:lang w:val="en-US" w:eastAsia="zh-CN"/>
        </w:rPr>
      </w:pPr>
      <w:r>
        <w:rPr>
          <w:rFonts w:hint="eastAsia"/>
          <w:color w:val="auto"/>
          <w:highlight w:val="none"/>
          <w:lang w:val="en-US" w:eastAsia="zh-CN"/>
        </w:rPr>
        <w:t>根据《建筑垃圾处理技术标准》（CJJ/T134-2019）中装修垃圾产生量的计算方法，结合本溪市历年实际情况：单位户数的装修垃圾产生量基数（t/户·a）0.5t/户·a，根据《本溪市国土空间总体规划（2021—2035年）》，2035年本溪市人口规模为88万人，按照现状户均人口2.331人计算，2035年本溪市居民户数为37.78万户。</w:t>
      </w:r>
    </w:p>
    <w:p w14:paraId="330CA416">
      <w:pPr>
        <w:bidi w:val="0"/>
        <w:ind w:left="0" w:leftChars="0" w:firstLine="0" w:firstLineChars="0"/>
        <w:jc w:val="center"/>
        <w:rPr>
          <w:rFonts w:hint="default"/>
          <w:b/>
          <w:bCs/>
          <w:color w:val="auto"/>
          <w:sz w:val="24"/>
          <w:szCs w:val="20"/>
          <w:highlight w:val="none"/>
          <w:lang w:val="en-US" w:eastAsia="zh-CN"/>
        </w:rPr>
      </w:pPr>
      <w:r>
        <w:rPr>
          <w:rFonts w:hint="eastAsia" w:ascii="Times New Roman" w:eastAsia="宋体"/>
          <w:b/>
          <w:bCs/>
          <w:color w:val="auto"/>
          <w:sz w:val="24"/>
          <w:szCs w:val="20"/>
          <w:highlight w:val="none"/>
          <w:lang w:val="en-US" w:eastAsia="zh-CN"/>
        </w:rPr>
        <w:t>表</w:t>
      </w:r>
      <w:r>
        <w:rPr>
          <w:rFonts w:hint="eastAsia"/>
          <w:b/>
          <w:bCs/>
          <w:color w:val="auto"/>
          <w:sz w:val="24"/>
          <w:szCs w:val="20"/>
          <w:highlight w:val="none"/>
          <w:lang w:val="en-US" w:eastAsia="zh-CN"/>
        </w:rPr>
        <w:t>4</w:t>
      </w:r>
      <w:r>
        <w:rPr>
          <w:rFonts w:hint="eastAsia" w:ascii="Times New Roman" w:eastAsia="宋体"/>
          <w:b/>
          <w:bCs/>
          <w:color w:val="auto"/>
          <w:sz w:val="24"/>
          <w:szCs w:val="20"/>
          <w:highlight w:val="none"/>
          <w:lang w:val="en-US" w:eastAsia="zh-CN"/>
        </w:rPr>
        <w:t>.</w:t>
      </w:r>
      <w:r>
        <w:rPr>
          <w:rFonts w:hint="eastAsia"/>
          <w:b/>
          <w:bCs/>
          <w:color w:val="auto"/>
          <w:sz w:val="24"/>
          <w:szCs w:val="20"/>
          <w:highlight w:val="none"/>
          <w:lang w:val="en-US" w:eastAsia="zh-CN"/>
        </w:rPr>
        <w:t>1</w:t>
      </w:r>
      <w:r>
        <w:rPr>
          <w:rFonts w:hint="eastAsia" w:ascii="Times New Roman" w:eastAsia="宋体"/>
          <w:b/>
          <w:bCs/>
          <w:color w:val="auto"/>
          <w:sz w:val="24"/>
          <w:szCs w:val="20"/>
          <w:highlight w:val="none"/>
          <w:lang w:val="en-US" w:eastAsia="zh-CN"/>
        </w:rPr>
        <w:t>-</w:t>
      </w:r>
      <w:r>
        <w:rPr>
          <w:rFonts w:hint="eastAsia"/>
          <w:b/>
          <w:bCs/>
          <w:color w:val="auto"/>
          <w:sz w:val="24"/>
          <w:szCs w:val="20"/>
          <w:highlight w:val="none"/>
          <w:lang w:val="en-US" w:eastAsia="zh-CN"/>
        </w:rPr>
        <w:t>3</w:t>
      </w:r>
      <w:r>
        <w:rPr>
          <w:rFonts w:hint="eastAsia" w:ascii="Times New Roman" w:eastAsia="宋体"/>
          <w:b/>
          <w:bCs/>
          <w:color w:val="auto"/>
          <w:sz w:val="24"/>
          <w:szCs w:val="20"/>
          <w:highlight w:val="none"/>
          <w:lang w:val="en-US" w:eastAsia="zh-CN"/>
        </w:rPr>
        <w:t xml:space="preserve"> </w:t>
      </w:r>
      <w:r>
        <w:rPr>
          <w:rFonts w:hint="eastAsia"/>
          <w:b/>
          <w:bCs/>
          <w:color w:val="auto"/>
          <w:sz w:val="24"/>
          <w:szCs w:val="20"/>
          <w:highlight w:val="none"/>
          <w:lang w:val="en-US" w:eastAsia="zh-CN"/>
        </w:rPr>
        <w:t>本溪市装修</w:t>
      </w:r>
      <w:r>
        <w:rPr>
          <w:rFonts w:hint="eastAsia" w:ascii="Times New Roman" w:eastAsia="宋体"/>
          <w:b/>
          <w:bCs/>
          <w:color w:val="auto"/>
          <w:sz w:val="24"/>
          <w:szCs w:val="20"/>
          <w:highlight w:val="none"/>
          <w:lang w:val="en-US" w:eastAsia="zh-CN"/>
        </w:rPr>
        <w:t>垃圾预测量</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9"/>
        <w:gridCol w:w="3490"/>
        <w:gridCol w:w="3490"/>
      </w:tblGrid>
      <w:tr w14:paraId="0207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9" w:type="dxa"/>
            <w:vAlign w:val="center"/>
          </w:tcPr>
          <w:p w14:paraId="0FB1CAEB">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年份</w:t>
            </w:r>
          </w:p>
        </w:tc>
        <w:tc>
          <w:tcPr>
            <w:tcW w:w="3490" w:type="dxa"/>
            <w:vAlign w:val="center"/>
          </w:tcPr>
          <w:p w14:paraId="3D5D3FF9">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居民户数（万户）</w:t>
            </w:r>
          </w:p>
        </w:tc>
        <w:tc>
          <w:tcPr>
            <w:tcW w:w="3490" w:type="dxa"/>
            <w:vAlign w:val="center"/>
          </w:tcPr>
          <w:p w14:paraId="76FF541D">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装修垃圾产量</w:t>
            </w:r>
            <w:r>
              <w:rPr>
                <w:rFonts w:hint="eastAsia" w:ascii="Times New Roman" w:eastAsia="宋体"/>
                <w:color w:val="auto"/>
                <w:sz w:val="24"/>
                <w:szCs w:val="20"/>
                <w:highlight w:val="none"/>
                <w:vertAlign w:val="baseline"/>
                <w:lang w:val="en-US" w:eastAsia="zh-CN"/>
              </w:rPr>
              <w:t>（万吨</w:t>
            </w:r>
            <w:r>
              <w:rPr>
                <w:rFonts w:hint="eastAsia"/>
                <w:color w:val="auto"/>
                <w:sz w:val="24"/>
                <w:szCs w:val="20"/>
                <w:highlight w:val="none"/>
                <w:vertAlign w:val="baseline"/>
                <w:lang w:val="en-US" w:eastAsia="zh-CN"/>
              </w:rPr>
              <w:t>/年</w:t>
            </w:r>
            <w:r>
              <w:rPr>
                <w:rFonts w:hint="eastAsia" w:ascii="Times New Roman" w:eastAsia="宋体"/>
                <w:color w:val="auto"/>
                <w:sz w:val="24"/>
                <w:szCs w:val="20"/>
                <w:highlight w:val="none"/>
                <w:vertAlign w:val="baseline"/>
                <w:lang w:val="en-US" w:eastAsia="zh-CN"/>
              </w:rPr>
              <w:t>）</w:t>
            </w:r>
          </w:p>
        </w:tc>
      </w:tr>
      <w:tr w14:paraId="6C15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9" w:type="dxa"/>
            <w:vAlign w:val="center"/>
          </w:tcPr>
          <w:p w14:paraId="0C8E318A">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2030年（近期）</w:t>
            </w:r>
          </w:p>
        </w:tc>
        <w:tc>
          <w:tcPr>
            <w:tcW w:w="3490" w:type="dxa"/>
            <w:vAlign w:val="center"/>
          </w:tcPr>
          <w:p w14:paraId="21972C0B">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37.56</w:t>
            </w:r>
          </w:p>
        </w:tc>
        <w:tc>
          <w:tcPr>
            <w:tcW w:w="3490" w:type="dxa"/>
            <w:vAlign w:val="center"/>
          </w:tcPr>
          <w:p w14:paraId="19074ADF">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18.78</w:t>
            </w:r>
          </w:p>
        </w:tc>
      </w:tr>
      <w:tr w14:paraId="4156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9" w:type="dxa"/>
            <w:vAlign w:val="center"/>
          </w:tcPr>
          <w:p w14:paraId="115728CF">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2035年（远期）</w:t>
            </w:r>
          </w:p>
        </w:tc>
        <w:tc>
          <w:tcPr>
            <w:tcW w:w="3490" w:type="dxa"/>
            <w:vAlign w:val="center"/>
          </w:tcPr>
          <w:p w14:paraId="5D551293">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37.78</w:t>
            </w:r>
          </w:p>
        </w:tc>
        <w:tc>
          <w:tcPr>
            <w:tcW w:w="3490" w:type="dxa"/>
            <w:vAlign w:val="center"/>
          </w:tcPr>
          <w:p w14:paraId="6939C133">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18.89</w:t>
            </w:r>
          </w:p>
        </w:tc>
      </w:tr>
    </w:tbl>
    <w:p w14:paraId="608798B4">
      <w:pPr>
        <w:pStyle w:val="4"/>
        <w:bidi w:val="0"/>
        <w:rPr>
          <w:rFonts w:hint="default"/>
          <w:color w:val="auto"/>
          <w:lang w:val="en-US" w:eastAsia="zh-CN"/>
        </w:rPr>
      </w:pPr>
      <w:bookmarkStart w:id="46" w:name="_Toc28574"/>
      <w:r>
        <w:rPr>
          <w:rFonts w:hint="eastAsia"/>
          <w:color w:val="auto"/>
          <w:lang w:val="en-US" w:eastAsia="zh-CN"/>
        </w:rPr>
        <w:t>4.1.5 小结</w:t>
      </w:r>
      <w:bookmarkEnd w:id="46"/>
    </w:p>
    <w:p w14:paraId="7015E00D">
      <w:pPr>
        <w:bidi w:val="0"/>
        <w:rPr>
          <w:rFonts w:hint="default"/>
          <w:color w:val="auto"/>
          <w:highlight w:val="none"/>
          <w:lang w:val="en-US" w:eastAsia="zh-CN"/>
        </w:rPr>
      </w:pPr>
      <w:r>
        <w:rPr>
          <w:rFonts w:hint="default"/>
          <w:color w:val="auto"/>
          <w:highlight w:val="none"/>
          <w:lang w:val="en-US" w:eastAsia="zh-CN"/>
        </w:rPr>
        <w:t>综合上述建筑工程渣土</w:t>
      </w:r>
      <w:r>
        <w:rPr>
          <w:rFonts w:hint="eastAsia"/>
          <w:color w:val="auto"/>
          <w:highlight w:val="none"/>
          <w:lang w:val="en-US" w:eastAsia="zh-CN"/>
        </w:rPr>
        <w:t>及</w:t>
      </w:r>
      <w:r>
        <w:rPr>
          <w:rFonts w:hint="default"/>
          <w:color w:val="auto"/>
          <w:highlight w:val="none"/>
          <w:lang w:val="en-US" w:eastAsia="zh-CN"/>
        </w:rPr>
        <w:t>泥浆、工程垃圾、拆除垃圾、装修垃圾这5类建筑垃圾计算结果，</w:t>
      </w:r>
      <w:r>
        <w:rPr>
          <w:rFonts w:hint="eastAsia"/>
          <w:color w:val="auto"/>
          <w:highlight w:val="none"/>
          <w:lang w:val="en-US" w:eastAsia="zh-CN"/>
        </w:rPr>
        <w:t>预测到2030年，本溪市建筑垃圾产生量为42.17万吨/年</w:t>
      </w:r>
      <w:bookmarkStart w:id="47" w:name="OLE_LINK1"/>
      <w:r>
        <w:rPr>
          <w:rFonts w:hint="eastAsia"/>
          <w:color w:val="auto"/>
          <w:highlight w:val="none"/>
          <w:lang w:val="en-US" w:eastAsia="zh-CN"/>
        </w:rPr>
        <w:t>（不含工程渣土及泥浆）</w:t>
      </w:r>
      <w:bookmarkEnd w:id="47"/>
      <w:r>
        <w:rPr>
          <w:rFonts w:hint="eastAsia"/>
          <w:color w:val="auto"/>
          <w:highlight w:val="none"/>
          <w:lang w:val="en-US" w:eastAsia="zh-CN"/>
        </w:rPr>
        <w:t>；</w:t>
      </w:r>
      <w:r>
        <w:rPr>
          <w:rFonts w:hint="default"/>
          <w:color w:val="auto"/>
          <w:highlight w:val="none"/>
          <w:lang w:val="en-US" w:eastAsia="zh-CN"/>
        </w:rPr>
        <w:t>预测到2035年（不含工程渣土及泥浆），</w:t>
      </w:r>
      <w:r>
        <w:rPr>
          <w:rFonts w:hint="eastAsia"/>
          <w:color w:val="auto"/>
          <w:highlight w:val="none"/>
          <w:lang w:val="en-US" w:eastAsia="zh-CN"/>
        </w:rPr>
        <w:t>本溪市建筑</w:t>
      </w:r>
      <w:r>
        <w:rPr>
          <w:rFonts w:hint="default"/>
          <w:color w:val="auto"/>
          <w:highlight w:val="none"/>
          <w:lang w:val="en-US" w:eastAsia="zh-CN"/>
        </w:rPr>
        <w:t>垃圾产生量为</w:t>
      </w:r>
      <w:r>
        <w:rPr>
          <w:rFonts w:hint="eastAsia"/>
          <w:color w:val="auto"/>
          <w:highlight w:val="none"/>
          <w:lang w:val="en-US" w:eastAsia="zh-CN"/>
        </w:rPr>
        <w:t>65.65</w:t>
      </w:r>
      <w:r>
        <w:rPr>
          <w:rFonts w:hint="default"/>
          <w:color w:val="auto"/>
          <w:highlight w:val="none"/>
          <w:lang w:val="en-US" w:eastAsia="zh-CN"/>
        </w:rPr>
        <w:t>万吨/年。</w:t>
      </w:r>
    </w:p>
    <w:p w14:paraId="2363A999">
      <w:pPr>
        <w:bidi w:val="0"/>
        <w:ind w:left="0" w:leftChars="0" w:firstLine="0" w:firstLineChars="0"/>
        <w:jc w:val="center"/>
        <w:rPr>
          <w:rFonts w:hint="default"/>
          <w:color w:val="auto"/>
          <w:sz w:val="24"/>
          <w:szCs w:val="20"/>
          <w:highlight w:val="none"/>
          <w:lang w:val="en-US" w:eastAsia="zh-CN"/>
        </w:rPr>
      </w:pPr>
      <w:r>
        <w:rPr>
          <w:rFonts w:hint="eastAsia" w:ascii="Times New Roman" w:eastAsia="宋体"/>
          <w:b/>
          <w:bCs/>
          <w:color w:val="auto"/>
          <w:sz w:val="24"/>
          <w:szCs w:val="20"/>
          <w:highlight w:val="none"/>
          <w:lang w:val="en-US" w:eastAsia="zh-CN"/>
        </w:rPr>
        <w:t>表</w:t>
      </w:r>
      <w:r>
        <w:rPr>
          <w:rFonts w:hint="eastAsia"/>
          <w:b/>
          <w:bCs/>
          <w:color w:val="auto"/>
          <w:sz w:val="24"/>
          <w:szCs w:val="20"/>
          <w:highlight w:val="none"/>
          <w:lang w:val="en-US" w:eastAsia="zh-CN"/>
        </w:rPr>
        <w:t>4</w:t>
      </w:r>
      <w:r>
        <w:rPr>
          <w:rFonts w:hint="eastAsia" w:ascii="Times New Roman" w:eastAsia="宋体"/>
          <w:b/>
          <w:bCs/>
          <w:color w:val="auto"/>
          <w:sz w:val="24"/>
          <w:szCs w:val="20"/>
          <w:highlight w:val="none"/>
          <w:lang w:val="en-US" w:eastAsia="zh-CN"/>
        </w:rPr>
        <w:t>.</w:t>
      </w:r>
      <w:r>
        <w:rPr>
          <w:rFonts w:hint="eastAsia"/>
          <w:b/>
          <w:bCs/>
          <w:color w:val="auto"/>
          <w:sz w:val="24"/>
          <w:szCs w:val="20"/>
          <w:highlight w:val="none"/>
          <w:lang w:val="en-US" w:eastAsia="zh-CN"/>
        </w:rPr>
        <w:t>1</w:t>
      </w:r>
      <w:r>
        <w:rPr>
          <w:rFonts w:hint="eastAsia" w:ascii="Times New Roman" w:eastAsia="宋体"/>
          <w:b/>
          <w:bCs/>
          <w:color w:val="auto"/>
          <w:sz w:val="24"/>
          <w:szCs w:val="20"/>
          <w:highlight w:val="none"/>
          <w:lang w:val="en-US" w:eastAsia="zh-CN"/>
        </w:rPr>
        <w:t>-</w:t>
      </w:r>
      <w:r>
        <w:rPr>
          <w:rFonts w:hint="eastAsia"/>
          <w:b/>
          <w:bCs/>
          <w:color w:val="auto"/>
          <w:sz w:val="24"/>
          <w:szCs w:val="20"/>
          <w:highlight w:val="none"/>
          <w:lang w:val="en-US" w:eastAsia="zh-CN"/>
        </w:rPr>
        <w:t>4</w:t>
      </w:r>
      <w:r>
        <w:rPr>
          <w:rFonts w:hint="eastAsia" w:ascii="Times New Roman" w:eastAsia="宋体"/>
          <w:b/>
          <w:bCs/>
          <w:color w:val="auto"/>
          <w:sz w:val="24"/>
          <w:szCs w:val="20"/>
          <w:highlight w:val="none"/>
          <w:lang w:val="en-US" w:eastAsia="zh-CN"/>
        </w:rPr>
        <w:t xml:space="preserve"> </w:t>
      </w:r>
      <w:r>
        <w:rPr>
          <w:rFonts w:hint="eastAsia"/>
          <w:b/>
          <w:bCs/>
          <w:color w:val="auto"/>
          <w:sz w:val="24"/>
          <w:szCs w:val="20"/>
          <w:highlight w:val="none"/>
          <w:lang w:val="en-US" w:eastAsia="zh-CN"/>
        </w:rPr>
        <w:t>建筑垃圾总量表</w:t>
      </w:r>
    </w:p>
    <w:tbl>
      <w:tblPr>
        <w:tblStyle w:val="1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1981"/>
        <w:gridCol w:w="1648"/>
        <w:gridCol w:w="1726"/>
        <w:gridCol w:w="1785"/>
        <w:gridCol w:w="1400"/>
      </w:tblGrid>
      <w:tr w14:paraId="4317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0E908279">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名称</w:t>
            </w:r>
          </w:p>
        </w:tc>
        <w:tc>
          <w:tcPr>
            <w:tcW w:w="946" w:type="pct"/>
            <w:vAlign w:val="center"/>
          </w:tcPr>
          <w:p w14:paraId="63F460F1">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工程渣土及泥浆（万吨/年）</w:t>
            </w:r>
          </w:p>
        </w:tc>
        <w:tc>
          <w:tcPr>
            <w:tcW w:w="787" w:type="pct"/>
            <w:vAlign w:val="center"/>
          </w:tcPr>
          <w:p w14:paraId="0CA51442">
            <w:pPr>
              <w:widowControl w:val="0"/>
              <w:bidi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拆除垃圾</w:t>
            </w:r>
          </w:p>
          <w:p w14:paraId="03C1316E">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（万吨/年）</w:t>
            </w:r>
          </w:p>
        </w:tc>
        <w:tc>
          <w:tcPr>
            <w:tcW w:w="824" w:type="pct"/>
            <w:vAlign w:val="center"/>
          </w:tcPr>
          <w:p w14:paraId="6C858D8D">
            <w:pPr>
              <w:widowControl w:val="0"/>
              <w:bidi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工程垃圾</w:t>
            </w:r>
          </w:p>
          <w:p w14:paraId="5DA6D3EA">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（万吨/年）</w:t>
            </w:r>
          </w:p>
        </w:tc>
        <w:tc>
          <w:tcPr>
            <w:tcW w:w="852" w:type="pct"/>
            <w:vAlign w:val="center"/>
          </w:tcPr>
          <w:p w14:paraId="625DC510">
            <w:pPr>
              <w:widowControl w:val="0"/>
              <w:bidi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装修垃圾</w:t>
            </w:r>
          </w:p>
          <w:p w14:paraId="476474FC">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（万吨/年）</w:t>
            </w:r>
          </w:p>
        </w:tc>
        <w:tc>
          <w:tcPr>
            <w:tcW w:w="668" w:type="pct"/>
            <w:vAlign w:val="center"/>
          </w:tcPr>
          <w:p w14:paraId="4BDED0CE">
            <w:pPr>
              <w:widowControl w:val="0"/>
              <w:bidi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合计</w:t>
            </w:r>
          </w:p>
          <w:p w14:paraId="736C47E6">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（万吨/年）</w:t>
            </w:r>
          </w:p>
        </w:tc>
      </w:tr>
      <w:tr w14:paraId="187A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569E41C1">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2030年（近期）</w:t>
            </w:r>
          </w:p>
        </w:tc>
        <w:tc>
          <w:tcPr>
            <w:tcW w:w="946" w:type="pct"/>
            <w:vAlign w:val="center"/>
          </w:tcPr>
          <w:p w14:paraId="0E946093">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w:t>
            </w:r>
          </w:p>
        </w:tc>
        <w:tc>
          <w:tcPr>
            <w:tcW w:w="1647" w:type="dxa"/>
            <w:vAlign w:val="center"/>
          </w:tcPr>
          <w:p w14:paraId="5F5DF739">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19.17</w:t>
            </w:r>
          </w:p>
        </w:tc>
        <w:tc>
          <w:tcPr>
            <w:tcW w:w="1725" w:type="dxa"/>
            <w:vAlign w:val="center"/>
          </w:tcPr>
          <w:p w14:paraId="0FFCF99A">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 xml:space="preserve">4.21 </w:t>
            </w:r>
          </w:p>
        </w:tc>
        <w:tc>
          <w:tcPr>
            <w:tcW w:w="1784" w:type="dxa"/>
            <w:vAlign w:val="center"/>
          </w:tcPr>
          <w:p w14:paraId="1A584004">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18.78</w:t>
            </w:r>
          </w:p>
        </w:tc>
        <w:tc>
          <w:tcPr>
            <w:tcW w:w="1400" w:type="dxa"/>
            <w:vAlign w:val="center"/>
          </w:tcPr>
          <w:p w14:paraId="09A84975">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42.17</w:t>
            </w:r>
          </w:p>
        </w:tc>
      </w:tr>
      <w:tr w14:paraId="5C7A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6F9EAAD8">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2035年（远期）</w:t>
            </w:r>
          </w:p>
        </w:tc>
        <w:tc>
          <w:tcPr>
            <w:tcW w:w="946" w:type="pct"/>
            <w:vAlign w:val="center"/>
          </w:tcPr>
          <w:p w14:paraId="29FD199D">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w:t>
            </w:r>
          </w:p>
        </w:tc>
        <w:tc>
          <w:tcPr>
            <w:tcW w:w="1647" w:type="dxa"/>
            <w:vAlign w:val="center"/>
          </w:tcPr>
          <w:p w14:paraId="70863E9D">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38.34</w:t>
            </w:r>
          </w:p>
        </w:tc>
        <w:tc>
          <w:tcPr>
            <w:tcW w:w="1725" w:type="dxa"/>
            <w:vAlign w:val="center"/>
          </w:tcPr>
          <w:p w14:paraId="15770985">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 xml:space="preserve">8.43 </w:t>
            </w:r>
          </w:p>
        </w:tc>
        <w:tc>
          <w:tcPr>
            <w:tcW w:w="1784" w:type="dxa"/>
            <w:vAlign w:val="center"/>
          </w:tcPr>
          <w:p w14:paraId="4608C212">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18.89</w:t>
            </w:r>
          </w:p>
        </w:tc>
        <w:tc>
          <w:tcPr>
            <w:tcW w:w="1400" w:type="dxa"/>
            <w:vAlign w:val="center"/>
          </w:tcPr>
          <w:p w14:paraId="4B0ADC6F">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65.65</w:t>
            </w:r>
          </w:p>
        </w:tc>
      </w:tr>
    </w:tbl>
    <w:p w14:paraId="5700C79A">
      <w:pPr>
        <w:bidi w:val="0"/>
        <w:rPr>
          <w:rFonts w:hint="default"/>
          <w:color w:val="auto"/>
          <w:lang w:val="en-US" w:eastAsia="zh-CN"/>
        </w:rPr>
      </w:pPr>
    </w:p>
    <w:p w14:paraId="3F878D2C">
      <w:pPr>
        <w:pStyle w:val="3"/>
        <w:tabs>
          <w:tab w:val="left" w:pos="8400"/>
        </w:tabs>
        <w:bidi w:val="0"/>
        <w:rPr>
          <w:rFonts w:hint="eastAsia"/>
          <w:color w:val="auto"/>
          <w:lang w:val="en-US" w:eastAsia="zh-CN"/>
        </w:rPr>
      </w:pPr>
      <w:bookmarkStart w:id="48" w:name="_Toc5748"/>
      <w:r>
        <w:rPr>
          <w:rFonts w:hint="eastAsia"/>
          <w:color w:val="auto"/>
          <w:lang w:val="en-US" w:eastAsia="zh-CN"/>
        </w:rPr>
        <w:t>4.2 建筑垃圾利用和处置规模预测</w:t>
      </w:r>
      <w:bookmarkEnd w:id="48"/>
    </w:p>
    <w:p w14:paraId="2B7A3E92">
      <w:pPr>
        <w:bidi w:val="0"/>
        <w:rPr>
          <w:rFonts w:hint="eastAsia"/>
          <w:color w:val="auto"/>
          <w:lang w:val="en-US" w:eastAsia="zh-CN"/>
        </w:rPr>
      </w:pPr>
      <w:r>
        <w:rPr>
          <w:rFonts w:hint="eastAsia"/>
          <w:color w:val="auto"/>
          <w:lang w:val="en-US" w:eastAsia="zh-CN"/>
        </w:rPr>
        <w:t>根据本溪市近远期产生的建筑垃圾预测量，结合省相关政策文件要求及相关科研成果，确定资源化利用量达到60%，直接利用量根据各个种类建筑垃圾分别取值，其中工程垃圾直接利用量取20%、资源化利用量取60%、待资源化量及处置量取20%；拆除垃圾直接利用量取20%、资源化利用量取60%、待资源化量及处置量取20%；装修垃圾直接利用量取10%、资源化利用量取60%、待资源化量及处置量取30%，拟定建筑垃圾处置规模如下表所示。</w:t>
      </w:r>
    </w:p>
    <w:p w14:paraId="7755DFC0">
      <w:pPr>
        <w:bidi w:val="0"/>
        <w:ind w:left="0" w:leftChars="0" w:firstLine="0" w:firstLineChars="0"/>
        <w:jc w:val="center"/>
        <w:rPr>
          <w:rFonts w:hint="eastAsia" w:ascii="Times New Roman" w:eastAsia="宋体"/>
          <w:b/>
          <w:bCs/>
          <w:color w:val="auto"/>
          <w:sz w:val="24"/>
          <w:szCs w:val="20"/>
          <w:lang w:val="en-US" w:eastAsia="zh-CN"/>
        </w:rPr>
      </w:pPr>
    </w:p>
    <w:p w14:paraId="40A40135">
      <w:pPr>
        <w:bidi w:val="0"/>
        <w:ind w:left="0" w:leftChars="0" w:firstLine="0" w:firstLineChars="0"/>
        <w:jc w:val="center"/>
        <w:rPr>
          <w:rFonts w:hint="eastAsia" w:ascii="Times New Roman" w:eastAsia="宋体"/>
          <w:b/>
          <w:bCs/>
          <w:color w:val="auto"/>
          <w:sz w:val="24"/>
          <w:szCs w:val="20"/>
          <w:lang w:val="en-US" w:eastAsia="zh-CN"/>
        </w:rPr>
      </w:pPr>
    </w:p>
    <w:p w14:paraId="74E88F00">
      <w:pPr>
        <w:bidi w:val="0"/>
        <w:ind w:left="0" w:leftChars="0" w:firstLine="0" w:firstLineChars="0"/>
        <w:jc w:val="center"/>
        <w:rPr>
          <w:rFonts w:hint="default"/>
          <w:color w:val="auto"/>
          <w:sz w:val="24"/>
          <w:szCs w:val="20"/>
          <w:lang w:val="en-US" w:eastAsia="zh-CN"/>
        </w:rPr>
      </w:pPr>
      <w:r>
        <w:rPr>
          <w:rFonts w:hint="eastAsia" w:ascii="Times New Roman" w:eastAsia="宋体"/>
          <w:b/>
          <w:bCs/>
          <w:color w:val="auto"/>
          <w:sz w:val="24"/>
          <w:szCs w:val="20"/>
          <w:lang w:val="en-US" w:eastAsia="zh-CN"/>
        </w:rPr>
        <w:t>表</w:t>
      </w:r>
      <w:r>
        <w:rPr>
          <w:rFonts w:hint="eastAsia"/>
          <w:b/>
          <w:bCs/>
          <w:color w:val="auto"/>
          <w:sz w:val="24"/>
          <w:szCs w:val="20"/>
          <w:lang w:val="en-US" w:eastAsia="zh-CN"/>
        </w:rPr>
        <w:t xml:space="preserve">4.2-1 </w:t>
      </w:r>
      <w:r>
        <w:rPr>
          <w:rFonts w:hint="eastAsia" w:ascii="Times New Roman" w:eastAsia="宋体"/>
          <w:b/>
          <w:bCs/>
          <w:color w:val="auto"/>
          <w:sz w:val="24"/>
          <w:szCs w:val="20"/>
          <w:lang w:val="en-US" w:eastAsia="zh-CN"/>
        </w:rPr>
        <w:t>规划2035年建筑垃圾产生量与处理预测量</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1"/>
        <w:gridCol w:w="1681"/>
        <w:gridCol w:w="2024"/>
        <w:gridCol w:w="2368"/>
        <w:gridCol w:w="1681"/>
      </w:tblGrid>
      <w:tr w14:paraId="4B4B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pct"/>
            <w:vAlign w:val="center"/>
          </w:tcPr>
          <w:p w14:paraId="1EF89013">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建筑垃圾类别</w:t>
            </w:r>
          </w:p>
        </w:tc>
        <w:tc>
          <w:tcPr>
            <w:tcW w:w="803" w:type="pct"/>
            <w:vAlign w:val="center"/>
          </w:tcPr>
          <w:p w14:paraId="37B9AE57">
            <w:pPr>
              <w:widowControl w:val="0"/>
              <w:bidi w:val="0"/>
              <w:ind w:left="0" w:leftChars="0" w:firstLine="0" w:firstLineChars="0"/>
              <w:jc w:val="center"/>
              <w:rPr>
                <w:rFonts w:hint="eastAsia"/>
                <w:color w:val="auto"/>
                <w:sz w:val="24"/>
                <w:szCs w:val="20"/>
                <w:vertAlign w:val="baseline"/>
                <w:lang w:val="en-US" w:eastAsia="zh-CN"/>
              </w:rPr>
            </w:pPr>
            <w:r>
              <w:rPr>
                <w:rFonts w:hint="eastAsia"/>
                <w:color w:val="auto"/>
                <w:sz w:val="24"/>
                <w:szCs w:val="20"/>
                <w:vertAlign w:val="baseline"/>
                <w:lang w:val="en-US" w:eastAsia="zh-CN"/>
              </w:rPr>
              <w:t>产生量</w:t>
            </w:r>
          </w:p>
          <w:p w14:paraId="19A3DA9F">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（万吨/年）</w:t>
            </w:r>
          </w:p>
        </w:tc>
        <w:tc>
          <w:tcPr>
            <w:tcW w:w="967" w:type="pct"/>
            <w:vAlign w:val="center"/>
          </w:tcPr>
          <w:p w14:paraId="582EDB4E">
            <w:pPr>
              <w:widowControl w:val="0"/>
              <w:bidi w:val="0"/>
              <w:ind w:left="0" w:leftChars="0" w:firstLine="0" w:firstLineChars="0"/>
              <w:jc w:val="center"/>
              <w:rPr>
                <w:rFonts w:hint="eastAsia"/>
                <w:color w:val="auto"/>
                <w:sz w:val="24"/>
                <w:szCs w:val="20"/>
                <w:vertAlign w:val="baseline"/>
                <w:lang w:val="en-US" w:eastAsia="zh-CN"/>
              </w:rPr>
            </w:pPr>
            <w:r>
              <w:rPr>
                <w:rFonts w:hint="eastAsia"/>
                <w:color w:val="auto"/>
                <w:sz w:val="24"/>
                <w:szCs w:val="20"/>
                <w:vertAlign w:val="baseline"/>
                <w:lang w:val="en-US" w:eastAsia="zh-CN"/>
              </w:rPr>
              <w:t>直接利用量</w:t>
            </w:r>
          </w:p>
          <w:p w14:paraId="58261C03">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（万吨/年）</w:t>
            </w:r>
          </w:p>
        </w:tc>
        <w:tc>
          <w:tcPr>
            <w:tcW w:w="1131" w:type="pct"/>
            <w:vAlign w:val="center"/>
          </w:tcPr>
          <w:p w14:paraId="3E96ADFE">
            <w:pPr>
              <w:widowControl w:val="0"/>
              <w:bidi w:val="0"/>
              <w:ind w:left="0" w:leftChars="0" w:firstLine="0" w:firstLineChars="0"/>
              <w:jc w:val="center"/>
              <w:rPr>
                <w:rFonts w:hint="eastAsia"/>
                <w:color w:val="auto"/>
                <w:sz w:val="24"/>
                <w:szCs w:val="20"/>
                <w:vertAlign w:val="baseline"/>
                <w:lang w:val="en-US" w:eastAsia="zh-CN"/>
              </w:rPr>
            </w:pPr>
            <w:r>
              <w:rPr>
                <w:rFonts w:hint="eastAsia"/>
                <w:color w:val="auto"/>
                <w:sz w:val="24"/>
                <w:szCs w:val="20"/>
                <w:vertAlign w:val="baseline"/>
                <w:lang w:val="en-US" w:eastAsia="zh-CN"/>
              </w:rPr>
              <w:t>资源化利用量</w:t>
            </w:r>
          </w:p>
          <w:p w14:paraId="4687C680">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（万吨/年）</w:t>
            </w:r>
          </w:p>
        </w:tc>
        <w:tc>
          <w:tcPr>
            <w:tcW w:w="803" w:type="pct"/>
            <w:vAlign w:val="center"/>
          </w:tcPr>
          <w:p w14:paraId="77AC00BF">
            <w:pPr>
              <w:widowControl w:val="0"/>
              <w:bidi w:val="0"/>
              <w:ind w:left="0" w:leftChars="0" w:firstLine="0" w:firstLineChars="0"/>
              <w:jc w:val="center"/>
              <w:rPr>
                <w:rFonts w:hint="eastAsia"/>
                <w:color w:val="auto"/>
                <w:sz w:val="24"/>
                <w:szCs w:val="20"/>
                <w:vertAlign w:val="baseline"/>
                <w:lang w:val="en-US" w:eastAsia="zh-CN"/>
              </w:rPr>
            </w:pPr>
            <w:r>
              <w:rPr>
                <w:rFonts w:hint="eastAsia"/>
                <w:color w:val="auto"/>
                <w:sz w:val="24"/>
                <w:szCs w:val="20"/>
                <w:vertAlign w:val="baseline"/>
                <w:lang w:val="en-US" w:eastAsia="zh-CN"/>
              </w:rPr>
              <w:t>处置量</w:t>
            </w:r>
          </w:p>
          <w:p w14:paraId="7376BD14">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（万吨/年）</w:t>
            </w:r>
          </w:p>
        </w:tc>
      </w:tr>
      <w:tr w14:paraId="041F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295" w:type="pct"/>
            <w:vAlign w:val="center"/>
          </w:tcPr>
          <w:p w14:paraId="610A5882">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工程渣土及泥浆</w:t>
            </w:r>
          </w:p>
        </w:tc>
        <w:tc>
          <w:tcPr>
            <w:tcW w:w="803" w:type="pct"/>
            <w:vAlign w:val="center"/>
          </w:tcPr>
          <w:p w14:paraId="7A12FB57">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w:t>
            </w:r>
          </w:p>
        </w:tc>
        <w:tc>
          <w:tcPr>
            <w:tcW w:w="967" w:type="pct"/>
            <w:vAlign w:val="center"/>
          </w:tcPr>
          <w:p w14:paraId="683A112E">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w:t>
            </w:r>
          </w:p>
        </w:tc>
        <w:tc>
          <w:tcPr>
            <w:tcW w:w="1131" w:type="pct"/>
            <w:vAlign w:val="center"/>
          </w:tcPr>
          <w:p w14:paraId="5FB362AB">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w:t>
            </w:r>
          </w:p>
        </w:tc>
        <w:tc>
          <w:tcPr>
            <w:tcW w:w="803" w:type="pct"/>
            <w:vAlign w:val="center"/>
          </w:tcPr>
          <w:p w14:paraId="0913B04B">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w:t>
            </w:r>
          </w:p>
        </w:tc>
      </w:tr>
      <w:tr w14:paraId="34C7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pct"/>
            <w:vAlign w:val="center"/>
          </w:tcPr>
          <w:p w14:paraId="2619BE07">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工程垃圾</w:t>
            </w:r>
          </w:p>
        </w:tc>
        <w:tc>
          <w:tcPr>
            <w:tcW w:w="1681" w:type="dxa"/>
            <w:vAlign w:val="center"/>
          </w:tcPr>
          <w:p w14:paraId="5B87D91D">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8.43</w:t>
            </w:r>
          </w:p>
        </w:tc>
        <w:tc>
          <w:tcPr>
            <w:tcW w:w="2024" w:type="dxa"/>
            <w:vAlign w:val="center"/>
          </w:tcPr>
          <w:p w14:paraId="0707C55D">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1.686</w:t>
            </w:r>
          </w:p>
        </w:tc>
        <w:tc>
          <w:tcPr>
            <w:tcW w:w="2368" w:type="dxa"/>
            <w:vAlign w:val="center"/>
          </w:tcPr>
          <w:p w14:paraId="34142043">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5.058</w:t>
            </w:r>
          </w:p>
        </w:tc>
        <w:tc>
          <w:tcPr>
            <w:tcW w:w="1681" w:type="dxa"/>
            <w:vAlign w:val="center"/>
          </w:tcPr>
          <w:p w14:paraId="43553021">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1.686</w:t>
            </w:r>
          </w:p>
        </w:tc>
      </w:tr>
      <w:tr w14:paraId="6268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pct"/>
            <w:vAlign w:val="center"/>
          </w:tcPr>
          <w:p w14:paraId="0F198866">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拆除垃圾</w:t>
            </w:r>
          </w:p>
        </w:tc>
        <w:tc>
          <w:tcPr>
            <w:tcW w:w="1681" w:type="dxa"/>
            <w:vAlign w:val="center"/>
          </w:tcPr>
          <w:p w14:paraId="5F320B54">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38.34</w:t>
            </w:r>
          </w:p>
        </w:tc>
        <w:tc>
          <w:tcPr>
            <w:tcW w:w="2024" w:type="dxa"/>
            <w:vAlign w:val="center"/>
          </w:tcPr>
          <w:p w14:paraId="68C2F265">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7.668</w:t>
            </w:r>
          </w:p>
        </w:tc>
        <w:tc>
          <w:tcPr>
            <w:tcW w:w="2368" w:type="dxa"/>
            <w:vAlign w:val="center"/>
          </w:tcPr>
          <w:p w14:paraId="52311873">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23.004</w:t>
            </w:r>
          </w:p>
        </w:tc>
        <w:tc>
          <w:tcPr>
            <w:tcW w:w="1681" w:type="dxa"/>
            <w:vAlign w:val="center"/>
          </w:tcPr>
          <w:p w14:paraId="02C89509">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7.668</w:t>
            </w:r>
          </w:p>
        </w:tc>
      </w:tr>
      <w:tr w14:paraId="6070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pct"/>
            <w:vAlign w:val="center"/>
          </w:tcPr>
          <w:p w14:paraId="44CA1B62">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装修垃圾</w:t>
            </w:r>
          </w:p>
        </w:tc>
        <w:tc>
          <w:tcPr>
            <w:tcW w:w="1681" w:type="dxa"/>
            <w:vAlign w:val="center"/>
          </w:tcPr>
          <w:p w14:paraId="45F88E0B">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18.89</w:t>
            </w:r>
          </w:p>
        </w:tc>
        <w:tc>
          <w:tcPr>
            <w:tcW w:w="2024" w:type="dxa"/>
            <w:vAlign w:val="center"/>
          </w:tcPr>
          <w:p w14:paraId="2240AA04">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1.889</w:t>
            </w:r>
          </w:p>
        </w:tc>
        <w:tc>
          <w:tcPr>
            <w:tcW w:w="2368" w:type="dxa"/>
            <w:vAlign w:val="center"/>
          </w:tcPr>
          <w:p w14:paraId="06B28AEB">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11.334</w:t>
            </w:r>
          </w:p>
        </w:tc>
        <w:tc>
          <w:tcPr>
            <w:tcW w:w="1681" w:type="dxa"/>
            <w:vAlign w:val="center"/>
          </w:tcPr>
          <w:p w14:paraId="1695233F">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5.667</w:t>
            </w:r>
          </w:p>
        </w:tc>
      </w:tr>
      <w:tr w14:paraId="7626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pct"/>
            <w:vAlign w:val="center"/>
          </w:tcPr>
          <w:p w14:paraId="52D77D9F">
            <w:pPr>
              <w:widowControl w:val="0"/>
              <w:bidi w:val="0"/>
              <w:ind w:left="0" w:leftChars="0" w:firstLine="0" w:firstLineChars="0"/>
              <w:jc w:val="center"/>
              <w:rPr>
                <w:rFonts w:hint="default"/>
                <w:color w:val="auto"/>
                <w:sz w:val="24"/>
                <w:szCs w:val="20"/>
                <w:vertAlign w:val="baseline"/>
                <w:lang w:val="en-US" w:eastAsia="zh-CN"/>
              </w:rPr>
            </w:pPr>
            <w:r>
              <w:rPr>
                <w:rFonts w:hint="eastAsia"/>
                <w:color w:val="auto"/>
                <w:sz w:val="24"/>
                <w:szCs w:val="20"/>
                <w:vertAlign w:val="baseline"/>
                <w:lang w:val="en-US" w:eastAsia="zh-CN"/>
              </w:rPr>
              <w:t>总量</w:t>
            </w:r>
          </w:p>
        </w:tc>
        <w:tc>
          <w:tcPr>
            <w:tcW w:w="1681" w:type="dxa"/>
            <w:vAlign w:val="center"/>
          </w:tcPr>
          <w:p w14:paraId="37EC961C">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65.65</w:t>
            </w:r>
          </w:p>
        </w:tc>
        <w:tc>
          <w:tcPr>
            <w:tcW w:w="2024" w:type="dxa"/>
            <w:vAlign w:val="center"/>
          </w:tcPr>
          <w:p w14:paraId="19A334D0">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11.243</w:t>
            </w:r>
          </w:p>
        </w:tc>
        <w:tc>
          <w:tcPr>
            <w:tcW w:w="2368" w:type="dxa"/>
            <w:vAlign w:val="center"/>
          </w:tcPr>
          <w:p w14:paraId="08C92378">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39.396</w:t>
            </w:r>
          </w:p>
        </w:tc>
        <w:tc>
          <w:tcPr>
            <w:tcW w:w="1681" w:type="dxa"/>
            <w:vAlign w:val="center"/>
          </w:tcPr>
          <w:p w14:paraId="0EA9BC0B">
            <w:pPr>
              <w:widowControl w:val="0"/>
              <w:bidi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15.021</w:t>
            </w:r>
          </w:p>
        </w:tc>
      </w:tr>
    </w:tbl>
    <w:p w14:paraId="799A3CA9">
      <w:pPr>
        <w:bidi w:val="0"/>
        <w:rPr>
          <w:rFonts w:hint="default"/>
          <w:color w:val="auto"/>
          <w:lang w:val="en-US" w:eastAsia="zh-CN"/>
        </w:rPr>
      </w:pPr>
    </w:p>
    <w:p w14:paraId="33895461">
      <w:pPr>
        <w:rPr>
          <w:rFonts w:hint="default"/>
          <w:color w:val="auto"/>
          <w:lang w:val="en-US" w:eastAsia="zh-CN"/>
        </w:rPr>
      </w:pPr>
      <w:r>
        <w:rPr>
          <w:rFonts w:hint="default"/>
          <w:color w:val="auto"/>
          <w:lang w:val="en-US" w:eastAsia="zh-CN"/>
        </w:rPr>
        <w:br w:type="page"/>
      </w:r>
    </w:p>
    <w:p w14:paraId="5D114E06">
      <w:pPr>
        <w:pStyle w:val="2"/>
        <w:bidi w:val="0"/>
        <w:rPr>
          <w:rFonts w:hint="default"/>
          <w:color w:val="auto"/>
          <w:lang w:val="en-US" w:eastAsia="zh-CN"/>
        </w:rPr>
      </w:pPr>
      <w:bookmarkStart w:id="49" w:name="_Toc15436"/>
      <w:r>
        <w:rPr>
          <w:rFonts w:hint="default"/>
          <w:color w:val="auto"/>
          <w:lang w:val="en-US" w:eastAsia="zh-CN"/>
        </w:rPr>
        <w:t>第</w:t>
      </w:r>
      <w:r>
        <w:rPr>
          <w:rFonts w:hint="eastAsia"/>
          <w:color w:val="auto"/>
          <w:lang w:val="en-US" w:eastAsia="zh-CN"/>
        </w:rPr>
        <w:t>五</w:t>
      </w:r>
      <w:r>
        <w:rPr>
          <w:rFonts w:hint="default"/>
          <w:color w:val="auto"/>
          <w:lang w:val="en-US" w:eastAsia="zh-CN"/>
        </w:rPr>
        <w:t xml:space="preserve">章 </w:t>
      </w:r>
      <w:r>
        <w:rPr>
          <w:rFonts w:hint="eastAsia"/>
          <w:color w:val="auto"/>
          <w:lang w:val="en-US" w:eastAsia="zh-CN"/>
        </w:rPr>
        <w:t>建筑垃圾源头减量规划</w:t>
      </w:r>
      <w:bookmarkEnd w:id="49"/>
    </w:p>
    <w:p w14:paraId="16C55339">
      <w:pPr>
        <w:pStyle w:val="3"/>
        <w:bidi w:val="0"/>
        <w:rPr>
          <w:rFonts w:hint="default"/>
          <w:color w:val="auto"/>
          <w:lang w:val="en-US" w:eastAsia="zh-CN"/>
        </w:rPr>
      </w:pPr>
      <w:bookmarkStart w:id="50" w:name="_Toc25514"/>
      <w:r>
        <w:rPr>
          <w:rFonts w:hint="eastAsia"/>
          <w:color w:val="auto"/>
          <w:lang w:val="en-US" w:eastAsia="zh-CN"/>
        </w:rPr>
        <w:t>5</w:t>
      </w:r>
      <w:r>
        <w:rPr>
          <w:rFonts w:hint="default"/>
          <w:color w:val="auto"/>
          <w:lang w:val="en-US" w:eastAsia="zh-CN"/>
        </w:rPr>
        <w:t xml:space="preserve">.1 </w:t>
      </w:r>
      <w:r>
        <w:rPr>
          <w:rFonts w:hint="eastAsia"/>
          <w:color w:val="auto"/>
          <w:lang w:val="en-US" w:eastAsia="zh-CN"/>
        </w:rPr>
        <w:t>建筑垃圾源头减量目标</w:t>
      </w:r>
      <w:bookmarkEnd w:id="50"/>
    </w:p>
    <w:p w14:paraId="69BAB52D">
      <w:pPr>
        <w:bidi w:val="0"/>
        <w:rPr>
          <w:rFonts w:hint="default" w:cs="Times New Roman"/>
          <w:color w:val="auto"/>
          <w:lang w:val="en-US" w:eastAsia="zh-CN"/>
        </w:rPr>
      </w:pPr>
      <w:r>
        <w:rPr>
          <w:rFonts w:hint="eastAsia" w:cs="Times New Roman"/>
          <w:color w:val="auto"/>
          <w:lang w:val="en-US" w:eastAsia="zh-CN"/>
        </w:rPr>
        <w:t>根据辽宁省《建筑垃圾污染环境防治工作规划编制导则》控制指标要求，结</w:t>
      </w:r>
      <w:r>
        <w:rPr>
          <w:rFonts w:hint="eastAsia" w:cs="Times New Roman"/>
          <w:color w:val="auto"/>
          <w:highlight w:val="none"/>
          <w:lang w:val="en-US" w:eastAsia="zh-CN"/>
        </w:rPr>
        <w:t>合本溪市实际</w:t>
      </w:r>
      <w:r>
        <w:rPr>
          <w:rFonts w:hint="eastAsia" w:cs="Times New Roman"/>
          <w:color w:val="auto"/>
          <w:lang w:val="en-US" w:eastAsia="zh-CN"/>
        </w:rPr>
        <w:t>，围绕建筑垃圾源头减量，规划采取系列有效措施，力争到2030年全市新建建筑施工现场建筑垃圾（不包括工程渣土、工程泥浆）排放量每万平方米不高于300吨，装配式建筑施工建筑垃圾（不包括工程渣土、工程泥浆）排放量每万平方米不高于200吨。</w:t>
      </w:r>
    </w:p>
    <w:p w14:paraId="060688DC">
      <w:pPr>
        <w:pStyle w:val="3"/>
        <w:bidi w:val="0"/>
        <w:rPr>
          <w:rFonts w:hint="eastAsia"/>
          <w:color w:val="auto"/>
          <w:lang w:val="en-US" w:eastAsia="zh-CN"/>
        </w:rPr>
      </w:pPr>
      <w:bookmarkStart w:id="51" w:name="_Toc11027"/>
      <w:r>
        <w:rPr>
          <w:rFonts w:hint="eastAsia"/>
          <w:color w:val="auto"/>
          <w:lang w:val="en-US" w:eastAsia="zh-CN"/>
        </w:rPr>
        <w:t>5</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w:t>
      </w:r>
      <w:r>
        <w:rPr>
          <w:rFonts w:hint="eastAsia"/>
          <w:color w:val="auto"/>
          <w:lang w:val="en-US" w:eastAsia="zh-CN"/>
        </w:rPr>
        <w:t>建筑垃圾源头减量措施</w:t>
      </w:r>
      <w:bookmarkEnd w:id="51"/>
    </w:p>
    <w:p w14:paraId="6B771916">
      <w:pPr>
        <w:bidi w:val="0"/>
        <w:rPr>
          <w:rFonts w:hint="default"/>
          <w:color w:val="auto"/>
          <w:lang w:val="en-US" w:eastAsia="zh-CN"/>
        </w:rPr>
      </w:pPr>
      <w:r>
        <w:rPr>
          <w:rFonts w:hint="default"/>
          <w:color w:val="auto"/>
          <w:lang w:val="en-US" w:eastAsia="zh-CN"/>
        </w:rPr>
        <w:t>建筑垃圾的源头减量是一种从源头上避免、消除与减少建筑垃圾产生量的办法，源头减量化控制则更加有效，它不仅可以减少对资源的过度开采，还能节约制造成本和减少对环境的破坏。本次规划在</w:t>
      </w:r>
      <w:r>
        <w:rPr>
          <w:rFonts w:hint="eastAsia"/>
          <w:color w:val="auto"/>
          <w:lang w:val="en-US" w:eastAsia="zh-CN"/>
        </w:rPr>
        <w:t>本溪市</w:t>
      </w:r>
      <w:r>
        <w:rPr>
          <w:rFonts w:hint="default"/>
          <w:color w:val="auto"/>
          <w:lang w:val="en-US" w:eastAsia="zh-CN"/>
        </w:rPr>
        <w:t>建筑垃圾治理体系设计的基础上，从建筑垃圾分类入手，提出不同类型建筑垃圾的源头减量方式，引导各类建筑垃圾产生量从源头上得到控制削减。</w:t>
      </w:r>
    </w:p>
    <w:p w14:paraId="67713609">
      <w:pPr>
        <w:bidi w:val="0"/>
        <w:rPr>
          <w:rFonts w:hint="default"/>
          <w:color w:val="auto"/>
          <w:lang w:val="en-US" w:eastAsia="zh-CN"/>
        </w:rPr>
      </w:pPr>
      <w:r>
        <w:rPr>
          <w:rFonts w:hint="default"/>
          <w:color w:val="auto"/>
          <w:lang w:val="en-US" w:eastAsia="zh-CN"/>
        </w:rPr>
        <w:t>规划建筑垃圾应从源头分类，按照工程渣土、工程泥浆、工程垃圾、拆除垃圾和装修垃圾分别收集、运输、分类处理处置。建筑垃圾减量应从源头实施，工程渣土、工程泥浆、工程垃圾和拆除垃圾应优先就地利用。本次规划引导建筑垃圾在源头减量的基础上优先考虑资源化利用，处理及利用优先次序宜按</w:t>
      </w:r>
      <w:r>
        <w:rPr>
          <w:rFonts w:hint="eastAsia"/>
          <w:color w:val="auto"/>
          <w:lang w:val="en-US" w:eastAsia="zh-CN"/>
        </w:rPr>
        <w:t>下表</w:t>
      </w:r>
      <w:r>
        <w:rPr>
          <w:rFonts w:hint="default"/>
          <w:color w:val="auto"/>
          <w:lang w:val="en-US" w:eastAsia="zh-CN"/>
        </w:rPr>
        <w:t>确定。</w:t>
      </w:r>
    </w:p>
    <w:p w14:paraId="214144B4">
      <w:pPr>
        <w:bidi w:val="0"/>
        <w:ind w:left="0" w:leftChars="0" w:firstLine="0" w:firstLineChars="0"/>
        <w:jc w:val="center"/>
        <w:rPr>
          <w:rFonts w:hint="eastAsia"/>
          <w:color w:val="auto"/>
          <w:sz w:val="24"/>
          <w:szCs w:val="20"/>
          <w:lang w:val="en-US" w:eastAsia="zh-CN"/>
        </w:rPr>
      </w:pPr>
      <w:r>
        <w:rPr>
          <w:rFonts w:hint="eastAsia" w:ascii="Times New Roman" w:eastAsia="宋体"/>
          <w:b/>
          <w:bCs/>
          <w:color w:val="auto"/>
          <w:sz w:val="24"/>
          <w:szCs w:val="20"/>
          <w:highlight w:val="none"/>
          <w:lang w:val="en-US" w:eastAsia="zh-CN"/>
        </w:rPr>
        <w:t>表5.2-1 建筑垃圾处理及利用优先次序</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2616"/>
        <w:gridCol w:w="5123"/>
      </w:tblGrid>
      <w:tr w14:paraId="3ACA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2" w:type="dxa"/>
            <w:gridSpan w:val="2"/>
            <w:vAlign w:val="center"/>
          </w:tcPr>
          <w:p w14:paraId="1A3484EB">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类型</w:t>
            </w:r>
          </w:p>
        </w:tc>
        <w:tc>
          <w:tcPr>
            <w:tcW w:w="5123" w:type="dxa"/>
            <w:vAlign w:val="center"/>
          </w:tcPr>
          <w:p w14:paraId="1788E0BA">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处理及利用优先次序</w:t>
            </w:r>
          </w:p>
        </w:tc>
      </w:tr>
      <w:tr w14:paraId="4671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vMerge w:val="restart"/>
            <w:vAlign w:val="center"/>
          </w:tcPr>
          <w:p w14:paraId="4D683FB9">
            <w:pPr>
              <w:widowControl w:val="0"/>
              <w:bidi w:val="0"/>
              <w:ind w:left="0" w:leftChars="0" w:firstLine="0" w:firstLineChars="0"/>
              <w:jc w:val="center"/>
              <w:rPr>
                <w:rFonts w:hint="default" w:asci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建筑垃圾</w:t>
            </w:r>
          </w:p>
        </w:tc>
        <w:tc>
          <w:tcPr>
            <w:tcW w:w="2616" w:type="dxa"/>
            <w:vAlign w:val="center"/>
          </w:tcPr>
          <w:p w14:paraId="7B4A19FD">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工程渣土、工程泥浆</w:t>
            </w:r>
          </w:p>
        </w:tc>
        <w:tc>
          <w:tcPr>
            <w:tcW w:w="5123" w:type="dxa"/>
            <w:vAlign w:val="center"/>
          </w:tcPr>
          <w:p w14:paraId="61A44A09">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资源化利用；堆填；作为生活垃圾填埋场覆盖用土；填埋处置</w:t>
            </w:r>
          </w:p>
        </w:tc>
      </w:tr>
      <w:tr w14:paraId="2F88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vMerge w:val="continue"/>
            <w:vAlign w:val="center"/>
          </w:tcPr>
          <w:p w14:paraId="46EA95E1">
            <w:pPr>
              <w:widowControl w:val="0"/>
              <w:bidi w:val="0"/>
              <w:ind w:left="0" w:leftChars="0" w:firstLine="0" w:firstLineChars="0"/>
              <w:jc w:val="center"/>
              <w:rPr>
                <w:rFonts w:hint="eastAsia" w:ascii="Times New Roman" w:eastAsia="宋体"/>
                <w:color w:val="auto"/>
                <w:sz w:val="24"/>
                <w:szCs w:val="20"/>
                <w:highlight w:val="none"/>
                <w:vertAlign w:val="baseline"/>
                <w:lang w:val="en-US" w:eastAsia="zh-CN"/>
              </w:rPr>
            </w:pPr>
          </w:p>
        </w:tc>
        <w:tc>
          <w:tcPr>
            <w:tcW w:w="2616" w:type="dxa"/>
            <w:vAlign w:val="center"/>
          </w:tcPr>
          <w:p w14:paraId="436DFAE8">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工程垃圾、拆除垃圾</w:t>
            </w:r>
          </w:p>
        </w:tc>
        <w:tc>
          <w:tcPr>
            <w:tcW w:w="5123" w:type="dxa"/>
            <w:vAlign w:val="center"/>
          </w:tcPr>
          <w:p w14:paraId="20E8FFCF">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资源化利用；堆填；填埋处置</w:t>
            </w:r>
          </w:p>
        </w:tc>
      </w:tr>
      <w:tr w14:paraId="1F96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vMerge w:val="continue"/>
            <w:vAlign w:val="center"/>
          </w:tcPr>
          <w:p w14:paraId="2F042D50">
            <w:pPr>
              <w:widowControl w:val="0"/>
              <w:bidi w:val="0"/>
              <w:ind w:left="0" w:leftChars="0" w:firstLine="0" w:firstLineChars="0"/>
              <w:jc w:val="center"/>
              <w:rPr>
                <w:rFonts w:hint="eastAsia" w:ascii="Times New Roman" w:eastAsia="宋体"/>
                <w:color w:val="auto"/>
                <w:sz w:val="24"/>
                <w:szCs w:val="20"/>
                <w:highlight w:val="none"/>
                <w:vertAlign w:val="baseline"/>
                <w:lang w:val="en-US" w:eastAsia="zh-CN"/>
              </w:rPr>
            </w:pPr>
          </w:p>
        </w:tc>
        <w:tc>
          <w:tcPr>
            <w:tcW w:w="2616" w:type="dxa"/>
            <w:vAlign w:val="center"/>
          </w:tcPr>
          <w:p w14:paraId="3C94CD65">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装修垃圾</w:t>
            </w:r>
          </w:p>
        </w:tc>
        <w:tc>
          <w:tcPr>
            <w:tcW w:w="5123" w:type="dxa"/>
            <w:vAlign w:val="center"/>
          </w:tcPr>
          <w:p w14:paraId="7E7BBA44">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资源化利用；填埋处置</w:t>
            </w:r>
          </w:p>
        </w:tc>
      </w:tr>
    </w:tbl>
    <w:p w14:paraId="01908AB6">
      <w:pPr>
        <w:bidi w:val="0"/>
        <w:rPr>
          <w:rFonts w:hint="default"/>
          <w:color w:val="auto"/>
          <w:sz w:val="13"/>
          <w:szCs w:val="10"/>
          <w:lang w:val="en-US" w:eastAsia="zh-CN"/>
        </w:rPr>
      </w:pPr>
    </w:p>
    <w:p w14:paraId="781C276E">
      <w:pPr>
        <w:pStyle w:val="4"/>
        <w:bidi w:val="0"/>
        <w:rPr>
          <w:rFonts w:hint="eastAsia"/>
          <w:color w:val="auto"/>
          <w:lang w:val="en-US" w:eastAsia="zh-CN"/>
        </w:rPr>
      </w:pPr>
      <w:bookmarkStart w:id="52" w:name="_Toc17342"/>
      <w:r>
        <w:rPr>
          <w:rFonts w:hint="eastAsia"/>
          <w:color w:val="auto"/>
          <w:lang w:val="en-US" w:eastAsia="zh-CN"/>
        </w:rPr>
        <w:t>5.2.1 工程渣土及泥浆</w:t>
      </w:r>
      <w:bookmarkEnd w:id="52"/>
    </w:p>
    <w:p w14:paraId="17724C93">
      <w:pPr>
        <w:bidi w:val="0"/>
        <w:rPr>
          <w:rFonts w:hint="default"/>
          <w:color w:val="auto"/>
          <w:lang w:val="en-US" w:eastAsia="zh-CN"/>
        </w:rPr>
      </w:pPr>
      <w:r>
        <w:rPr>
          <w:rFonts w:hint="default"/>
          <w:color w:val="auto"/>
          <w:lang w:val="en-US" w:eastAsia="zh-CN"/>
        </w:rPr>
        <w:t>工程渣土和少量工程泥浆可采用区域土方调配的方式，减少最终产生的需要</w:t>
      </w:r>
      <w:r>
        <w:rPr>
          <w:rFonts w:hint="eastAsia"/>
          <w:color w:val="auto"/>
          <w:lang w:val="en-US" w:eastAsia="zh-CN"/>
        </w:rPr>
        <w:t>堆填或填埋处置</w:t>
      </w:r>
      <w:r>
        <w:rPr>
          <w:rFonts w:hint="default"/>
          <w:color w:val="auto"/>
          <w:lang w:val="en-US" w:eastAsia="zh-CN"/>
        </w:rPr>
        <w:t>的总量。对于施工产生的可用于工程回填的建筑渣土通过区域土方调配优先用于工程回填，对于超出调配量的渣土以及施工产生的膨胀土和淤泥等不能用于工程回填土的工程渣土进入利用和填埋</w:t>
      </w:r>
      <w:r>
        <w:rPr>
          <w:rFonts w:hint="eastAsia"/>
          <w:color w:val="auto"/>
          <w:lang w:val="en-US" w:eastAsia="zh-CN"/>
        </w:rPr>
        <w:t>处置</w:t>
      </w:r>
      <w:r>
        <w:rPr>
          <w:rFonts w:hint="default"/>
          <w:color w:val="auto"/>
          <w:lang w:val="en-US" w:eastAsia="zh-CN"/>
        </w:rPr>
        <w:t>环节。</w:t>
      </w:r>
    </w:p>
    <w:p w14:paraId="243E6640">
      <w:pPr>
        <w:bidi w:val="0"/>
        <w:rPr>
          <w:rFonts w:hint="default"/>
          <w:color w:val="auto"/>
          <w:lang w:val="en-US" w:eastAsia="zh-CN"/>
        </w:rPr>
      </w:pPr>
      <w:r>
        <w:rPr>
          <w:rFonts w:hint="default"/>
          <w:color w:val="auto"/>
          <w:lang w:val="en-US" w:eastAsia="zh-CN"/>
        </w:rPr>
        <w:t>区域土方调配以</w:t>
      </w:r>
      <w:r>
        <w:rPr>
          <w:rFonts w:hint="eastAsia"/>
          <w:color w:val="auto"/>
          <w:lang w:val="en-US" w:eastAsia="zh-CN"/>
        </w:rPr>
        <w:t>行政</w:t>
      </w:r>
      <w:r>
        <w:rPr>
          <w:rFonts w:hint="default"/>
          <w:color w:val="auto"/>
          <w:lang w:val="en-US" w:eastAsia="zh-CN"/>
        </w:rPr>
        <w:t>区内各个建设工地为控制的基本单元，通过信息系统或设计管理机制对该行政区内各建设工地之间的土方填挖量进行平衡调配，如该片区内土方调配无法平衡的则进一步在各行政区和市区范围内进行土方协调平衡。通过区域土方调配使工程渣土尽可能多</w:t>
      </w:r>
      <w:r>
        <w:rPr>
          <w:rFonts w:hint="eastAsia"/>
          <w:color w:val="auto"/>
          <w:lang w:val="en-US" w:eastAsia="zh-CN"/>
        </w:rPr>
        <w:t>地</w:t>
      </w:r>
      <w:r>
        <w:rPr>
          <w:rFonts w:hint="default"/>
          <w:color w:val="auto"/>
          <w:lang w:val="en-US" w:eastAsia="zh-CN"/>
        </w:rPr>
        <w:t>用于回填利用，减少其需</w:t>
      </w:r>
      <w:r>
        <w:rPr>
          <w:rFonts w:hint="eastAsia"/>
          <w:color w:val="auto"/>
          <w:lang w:val="en-US" w:eastAsia="zh-CN"/>
        </w:rPr>
        <w:t>堆填</w:t>
      </w:r>
      <w:r>
        <w:rPr>
          <w:rFonts w:hint="default"/>
          <w:color w:val="auto"/>
          <w:lang w:val="en-US" w:eastAsia="zh-CN"/>
        </w:rPr>
        <w:t>和填埋的产生量。</w:t>
      </w:r>
    </w:p>
    <w:p w14:paraId="5D92532E">
      <w:pPr>
        <w:pStyle w:val="4"/>
        <w:bidi w:val="0"/>
        <w:rPr>
          <w:rFonts w:hint="eastAsia"/>
          <w:color w:val="auto"/>
          <w:lang w:val="en-US" w:eastAsia="zh-CN"/>
        </w:rPr>
      </w:pPr>
      <w:bookmarkStart w:id="53" w:name="_Toc30394"/>
      <w:r>
        <w:rPr>
          <w:rFonts w:hint="eastAsia"/>
          <w:color w:val="auto"/>
          <w:lang w:val="en-US" w:eastAsia="zh-CN"/>
        </w:rPr>
        <w:t>5.2.2 工程垃圾</w:t>
      </w:r>
      <w:bookmarkEnd w:id="53"/>
    </w:p>
    <w:p w14:paraId="47715507">
      <w:pPr>
        <w:bidi w:val="0"/>
        <w:rPr>
          <w:rFonts w:hint="default"/>
          <w:color w:val="auto"/>
          <w:lang w:val="en-US" w:eastAsia="zh-CN"/>
        </w:rPr>
      </w:pPr>
      <w:r>
        <w:rPr>
          <w:rFonts w:hint="eastAsia"/>
          <w:color w:val="auto"/>
          <w:lang w:val="en-US" w:eastAsia="zh-CN"/>
        </w:rPr>
        <w:t>（1）项目立项阶段</w:t>
      </w:r>
    </w:p>
    <w:p w14:paraId="4E800C18">
      <w:pPr>
        <w:bidi w:val="0"/>
        <w:rPr>
          <w:rFonts w:hint="default"/>
          <w:color w:val="auto"/>
          <w:lang w:val="en-US" w:eastAsia="zh-CN"/>
        </w:rPr>
      </w:pPr>
      <w:r>
        <w:rPr>
          <w:rFonts w:hint="eastAsia"/>
          <w:color w:val="auto"/>
          <w:lang w:val="en-US" w:eastAsia="zh-CN"/>
        </w:rPr>
        <w:t>①贯彻源头减量责任机制。按照“谁产生、谁承担处置责任”的原则，加强建设单位对建筑垃圾减量化首要责任的落实。</w:t>
      </w:r>
      <w:r>
        <w:rPr>
          <w:rFonts w:hint="default"/>
          <w:color w:val="auto"/>
          <w:lang w:val="en-US" w:eastAsia="zh-CN"/>
        </w:rPr>
        <w:t>在房屋建筑和市政基础设施工程的建设过程中，建设、设计、监理、施工等单位应采取建筑垃圾减量化的措施。施工现场建筑垃圾减量化应遵循</w:t>
      </w:r>
      <w:r>
        <w:rPr>
          <w:rFonts w:hint="eastAsia"/>
          <w:color w:val="auto"/>
          <w:lang w:val="en-US" w:eastAsia="zh-CN"/>
        </w:rPr>
        <w:t>“</w:t>
      </w:r>
      <w:r>
        <w:rPr>
          <w:rFonts w:hint="default"/>
          <w:color w:val="auto"/>
          <w:lang w:val="en-US" w:eastAsia="zh-CN"/>
        </w:rPr>
        <w:t>源头减量、分类管理、就地处置、排放控制</w:t>
      </w:r>
      <w:r>
        <w:rPr>
          <w:rFonts w:hint="eastAsia"/>
          <w:color w:val="auto"/>
          <w:lang w:val="en-US" w:eastAsia="zh-CN"/>
        </w:rPr>
        <w:t>”</w:t>
      </w:r>
      <w:r>
        <w:rPr>
          <w:rFonts w:hint="default"/>
          <w:color w:val="auto"/>
          <w:lang w:val="en-US" w:eastAsia="zh-CN"/>
        </w:rPr>
        <w:t>的原则。</w:t>
      </w:r>
    </w:p>
    <w:p w14:paraId="49C02151">
      <w:pPr>
        <w:bidi w:val="0"/>
        <w:rPr>
          <w:rFonts w:hint="eastAsia"/>
          <w:color w:val="auto"/>
          <w:lang w:val="en-US" w:eastAsia="zh-CN"/>
        </w:rPr>
      </w:pPr>
      <w:r>
        <w:rPr>
          <w:rFonts w:hint="eastAsia"/>
          <w:color w:val="auto"/>
          <w:lang w:val="en-US" w:eastAsia="zh-CN"/>
        </w:rPr>
        <w:t>②建设单位应明确建筑垃圾减量化的目标和措施，并纳入招标文件和合同文本，将建筑垃圾管理处置费纳入工程概算，统筹工程规划、设计、施工、交付等阶段，加强全过程管理，及时支付所需费用，鼓励建立相应奖惩机制，监督和激励设计、施工、监理单位落实建筑垃圾减量化的目标措施。建设单位应在施工前做好设计决策，尽量避免项目施工中变更建设内容和设计方案，造成建筑垃圾的增加。</w:t>
      </w:r>
    </w:p>
    <w:p w14:paraId="380ED6FB">
      <w:pPr>
        <w:bidi w:val="0"/>
        <w:rPr>
          <w:rFonts w:hint="default"/>
          <w:b/>
          <w:bCs/>
          <w:color w:val="auto"/>
          <w:lang w:val="en-US" w:eastAsia="zh-CN"/>
        </w:rPr>
      </w:pPr>
      <w:r>
        <w:rPr>
          <w:rFonts w:hint="eastAsia"/>
          <w:color w:val="auto"/>
          <w:lang w:val="en-US" w:eastAsia="zh-CN"/>
        </w:rPr>
        <w:t>③施工单位应编制建筑垃圾减量化专项方案，确定减量化目标，明确职责分工，结合工程实际制定有针对性的技术、管理和保障措施。建立健全施工现场建筑垃圾减量化管理体系，落实建筑垃圾减量化专项方案，减少施工现场建筑垃圾排放。</w:t>
      </w:r>
    </w:p>
    <w:p w14:paraId="1C45FEFF">
      <w:pPr>
        <w:bidi w:val="0"/>
        <w:rPr>
          <w:rFonts w:hint="eastAsia"/>
          <w:color w:val="auto"/>
          <w:lang w:val="en-US" w:eastAsia="zh-CN"/>
        </w:rPr>
      </w:pPr>
      <w:r>
        <w:rPr>
          <w:rFonts w:hint="eastAsia"/>
          <w:color w:val="auto"/>
          <w:lang w:val="en-US" w:eastAsia="zh-CN"/>
        </w:rPr>
        <w:t>（2）设计阶段</w:t>
      </w:r>
    </w:p>
    <w:p w14:paraId="3010594B">
      <w:pPr>
        <w:bidi w:val="0"/>
        <w:rPr>
          <w:rFonts w:hint="default"/>
          <w:color w:val="auto"/>
          <w:lang w:val="en-US" w:eastAsia="zh-CN"/>
        </w:rPr>
      </w:pPr>
      <w:r>
        <w:rPr>
          <w:rFonts w:hint="eastAsia"/>
          <w:color w:val="auto"/>
          <w:lang w:val="en-US" w:eastAsia="zh-CN"/>
        </w:rPr>
        <w:t>①</w:t>
      </w:r>
      <w:r>
        <w:rPr>
          <w:rFonts w:hint="default"/>
          <w:color w:val="auto"/>
          <w:lang w:val="en-US" w:eastAsia="zh-CN"/>
        </w:rPr>
        <w:t>设计单位应充分考虑建筑垃圾减量化要求，加强设计施工协同配合，保证设计深度满足施工需要，减少施工过程设计变更，积极推进建筑、结构、机电、装修、景观等专业一体化、标准化设计，并明确再生产品的使用部位和技术指标。</w:t>
      </w:r>
    </w:p>
    <w:p w14:paraId="22310173">
      <w:pPr>
        <w:bidi w:val="0"/>
        <w:rPr>
          <w:rFonts w:hint="default"/>
          <w:color w:val="auto"/>
          <w:lang w:val="en-US" w:eastAsia="zh-CN"/>
        </w:rPr>
      </w:pPr>
      <w:r>
        <w:rPr>
          <w:rFonts w:hint="eastAsia"/>
          <w:color w:val="auto"/>
          <w:lang w:val="en-US" w:eastAsia="zh-CN"/>
        </w:rPr>
        <w:t>②</w:t>
      </w:r>
      <w:r>
        <w:rPr>
          <w:rFonts w:hint="default"/>
          <w:color w:val="auto"/>
          <w:lang w:val="en-US" w:eastAsia="zh-CN"/>
        </w:rPr>
        <w:t>建筑设计应考虑优先选用强度较高的结构材料，达到减少材料用量的目的。建筑设计应优化建筑物的集约空间，在达到同样的可利用空间的条件下，使建筑材料耗量最小。设计人员应在满足功能要求的前提下，从建筑全寿命周期和耐久性材料的合理选用综合考虑，以避免因建筑使用寿命未达到设计年限而被拆除。</w:t>
      </w:r>
    </w:p>
    <w:p w14:paraId="4448997B">
      <w:pPr>
        <w:bidi w:val="0"/>
        <w:rPr>
          <w:rFonts w:hint="default"/>
          <w:color w:val="auto"/>
          <w:lang w:val="en-US" w:eastAsia="zh-CN"/>
        </w:rPr>
      </w:pPr>
      <w:r>
        <w:rPr>
          <w:rFonts w:hint="eastAsia"/>
          <w:color w:val="auto"/>
          <w:lang w:val="en-US" w:eastAsia="zh-CN"/>
        </w:rPr>
        <w:t>③</w:t>
      </w:r>
      <w:r>
        <w:rPr>
          <w:rFonts w:hint="default"/>
          <w:color w:val="auto"/>
          <w:lang w:val="en-US" w:eastAsia="zh-CN"/>
        </w:rPr>
        <w:t>鼓励采用B</w:t>
      </w:r>
      <w:r>
        <w:rPr>
          <w:rFonts w:hint="eastAsia"/>
          <w:color w:val="auto"/>
          <w:lang w:val="en-US" w:eastAsia="zh-CN"/>
        </w:rPr>
        <w:t>I</w:t>
      </w:r>
      <w:r>
        <w:rPr>
          <w:rFonts w:hint="default"/>
          <w:color w:val="auto"/>
          <w:lang w:val="en-US" w:eastAsia="zh-CN"/>
        </w:rPr>
        <w:t>M等信息化技术，提升设计质量，以减少源头建筑垃圾的产生。设计单位应根据地形地貌合理确定场地标高，开展土方平衡论证，减少渣土外运。有条件的地区应尽可能采用预制装配式结构，优先推行结构、节能、防水和装饰一体化的装配式结构体系，以减少现场作业产生的建筑垃圾。</w:t>
      </w:r>
    </w:p>
    <w:p w14:paraId="51A02074">
      <w:pPr>
        <w:bidi w:val="0"/>
        <w:rPr>
          <w:rFonts w:hint="default"/>
          <w:color w:val="auto"/>
          <w:lang w:val="en-US" w:eastAsia="zh-CN"/>
        </w:rPr>
      </w:pPr>
      <w:r>
        <w:rPr>
          <w:rFonts w:hint="eastAsia"/>
          <w:color w:val="auto"/>
          <w:lang w:val="en-US" w:eastAsia="zh-CN"/>
        </w:rPr>
        <w:t>④</w:t>
      </w:r>
      <w:r>
        <w:rPr>
          <w:rFonts w:hint="default"/>
          <w:color w:val="auto"/>
          <w:lang w:val="en-US" w:eastAsia="zh-CN"/>
        </w:rPr>
        <w:t>鼓励采用能够实现建筑垃圾减量化和资源化利用的创新设计、施工技术与装备应用。如建筑工程全装修交付，项目基础回填优先考虑设计采用本项目开挖基础产生的渣土回填，建筑非承重墙材优先考虑设计选用建筑垃圾再生建材产品等。</w:t>
      </w:r>
    </w:p>
    <w:p w14:paraId="394B8998">
      <w:pPr>
        <w:bidi w:val="0"/>
        <w:rPr>
          <w:rFonts w:hint="eastAsia"/>
          <w:color w:val="auto"/>
          <w:lang w:val="en-US" w:eastAsia="zh-CN"/>
        </w:rPr>
      </w:pPr>
      <w:r>
        <w:rPr>
          <w:rFonts w:hint="eastAsia"/>
          <w:color w:val="auto"/>
          <w:lang w:val="en-US" w:eastAsia="zh-CN"/>
        </w:rPr>
        <w:t>（3）施工阶段</w:t>
      </w:r>
    </w:p>
    <w:p w14:paraId="63CDEECB">
      <w:pPr>
        <w:bidi w:val="0"/>
        <w:rPr>
          <w:rFonts w:hint="eastAsia"/>
          <w:color w:val="auto"/>
          <w:lang w:val="en-US" w:eastAsia="zh-CN"/>
        </w:rPr>
      </w:pPr>
      <w:r>
        <w:rPr>
          <w:rFonts w:hint="eastAsia"/>
          <w:color w:val="auto"/>
          <w:lang w:val="en-US" w:eastAsia="zh-CN"/>
        </w:rPr>
        <w:t>①施工单位应制定建筑垃圾减量化专项方案。建筑垃圾减量化专项方案应包括对建筑垃圾类别、数量预估、分类处置途径、排放控制和就近利用等内容，确定减量化目标，明确职责分工，结合工程实际制定有针对性的管理和保障措施。</w:t>
      </w:r>
    </w:p>
    <w:p w14:paraId="13C180E8">
      <w:pPr>
        <w:bidi w:val="0"/>
        <w:rPr>
          <w:rFonts w:hint="eastAsia"/>
          <w:color w:val="auto"/>
          <w:lang w:val="en-US" w:eastAsia="zh-CN"/>
        </w:rPr>
      </w:pPr>
      <w:r>
        <w:rPr>
          <w:rFonts w:hint="eastAsia"/>
          <w:color w:val="auto"/>
          <w:lang w:val="en-US" w:eastAsia="zh-CN"/>
        </w:rPr>
        <w:t>②施工现场建筑垃圾的源头减量应通过施工图纸深化、施工方案优化、先进建造技术、永临结合、周转材料重复利用、施工过程管理等措施，达到施工过程减量化利用的目标。施工单位应与设计人员充分沟通，避免或减少施工过程中拆改、变更产生建筑垃圾。</w:t>
      </w:r>
    </w:p>
    <w:p w14:paraId="59BAE308">
      <w:pPr>
        <w:bidi w:val="0"/>
        <w:rPr>
          <w:rFonts w:hint="default"/>
          <w:color w:val="auto"/>
          <w:lang w:val="en-US" w:eastAsia="zh-CN"/>
        </w:rPr>
      </w:pPr>
      <w:r>
        <w:rPr>
          <w:rFonts w:hint="eastAsia"/>
          <w:color w:val="auto"/>
          <w:lang w:val="en-US" w:eastAsia="zh-CN"/>
        </w:rPr>
        <w:t>③施工过程应严格实施建筑垃圾的分类收集、分类堆存，便于提高处理和利用效率。施工过程中应开展精准施工和标准化施工，尽量减少因施工不当导致的后续剔凿、切割和返工作业产生建筑垃圾。施工现场办公用房、宿舍、工地围挡、大门、工具棚、安全防护栏杆等临时设施，宜采用重复利用率高的标准化设施。鼓励采用“久代临”方式施工，即先期采用永久性设施代替临时设施使用。如先做永久性围墙的基层代替临时围墙使用，先做永久性道路基层代替临时道路使用，先做工程永久性消防水池代替现场雨水收集池使用等。工程槽土应分层分类开挖，便于资源化利用。表层土可作为环境绿化植土和复垦土，中、下层土可作为回填土，砂石层可作为即产即用的原材料。</w:t>
      </w:r>
    </w:p>
    <w:p w14:paraId="47A5BBED">
      <w:pPr>
        <w:pStyle w:val="4"/>
        <w:bidi w:val="0"/>
        <w:rPr>
          <w:rFonts w:hint="eastAsia"/>
          <w:color w:val="auto"/>
          <w:lang w:val="en-US" w:eastAsia="zh-CN"/>
        </w:rPr>
      </w:pPr>
      <w:bookmarkStart w:id="54" w:name="_Toc18882"/>
      <w:r>
        <w:rPr>
          <w:rFonts w:hint="eastAsia"/>
          <w:color w:val="auto"/>
          <w:lang w:val="en-US" w:eastAsia="zh-CN"/>
        </w:rPr>
        <w:t>5.2.3 拆除垃圾</w:t>
      </w:r>
      <w:bookmarkEnd w:id="54"/>
    </w:p>
    <w:p w14:paraId="341C49F2">
      <w:pPr>
        <w:bidi w:val="0"/>
        <w:rPr>
          <w:rFonts w:hint="default"/>
          <w:color w:val="auto"/>
          <w:lang w:val="en-US" w:eastAsia="zh-CN"/>
        </w:rPr>
      </w:pPr>
      <w:r>
        <w:rPr>
          <w:rFonts w:hint="eastAsia"/>
          <w:color w:val="auto"/>
          <w:lang w:val="en-US" w:eastAsia="zh-CN"/>
        </w:rPr>
        <w:t>（1）</w:t>
      </w:r>
      <w:r>
        <w:rPr>
          <w:rFonts w:hint="default"/>
          <w:color w:val="auto"/>
          <w:lang w:val="en-US" w:eastAsia="zh-CN"/>
        </w:rPr>
        <w:t>在设计阶段考虑未来建筑物的拆除</w:t>
      </w:r>
    </w:p>
    <w:p w14:paraId="6F9E1245">
      <w:pPr>
        <w:bidi w:val="0"/>
        <w:rPr>
          <w:rFonts w:hint="default"/>
          <w:color w:val="auto"/>
          <w:lang w:val="en-US" w:eastAsia="zh-CN"/>
        </w:rPr>
      </w:pPr>
      <w:r>
        <w:rPr>
          <w:rFonts w:hint="default"/>
          <w:color w:val="auto"/>
          <w:lang w:val="en-US" w:eastAsia="zh-CN"/>
        </w:rPr>
        <w:t>目前在建筑设计上，很少去思考建筑物在未来的拆除情况，以至于现在的建筑物绝大部分是被破坏性拆除，从而产生了大量的建筑垃圾。在设计阶段考虑未来建筑物的拆除的思路的提出为建筑物拆除提供了一种替代方法</w:t>
      </w:r>
      <w:r>
        <w:rPr>
          <w:rFonts w:hint="eastAsia"/>
          <w:color w:val="auto"/>
          <w:lang w:val="en-US" w:eastAsia="zh-CN"/>
        </w:rPr>
        <w:t>，</w:t>
      </w:r>
      <w:r>
        <w:rPr>
          <w:rFonts w:hint="default"/>
          <w:color w:val="auto"/>
          <w:lang w:val="en-US" w:eastAsia="zh-CN"/>
        </w:rPr>
        <w:t>它不仅能减少建筑垃圾的产生量，还能为建筑物的拆解、材料的回收运输等制造新的商机。</w:t>
      </w:r>
    </w:p>
    <w:p w14:paraId="22527DEC">
      <w:pPr>
        <w:bidi w:val="0"/>
        <w:rPr>
          <w:rFonts w:hint="default"/>
          <w:color w:val="auto"/>
          <w:lang w:val="en-US" w:eastAsia="zh-CN"/>
        </w:rPr>
      </w:pPr>
      <w:r>
        <w:rPr>
          <w:rFonts w:hint="eastAsia"/>
          <w:color w:val="auto"/>
          <w:lang w:val="en-US" w:eastAsia="zh-CN"/>
        </w:rPr>
        <w:t>（2）做好旧建筑的处置评价工作，积极开展旧建筑的多元化再利用</w:t>
      </w:r>
    </w:p>
    <w:p w14:paraId="730202D1">
      <w:pPr>
        <w:bidi w:val="0"/>
        <w:rPr>
          <w:rFonts w:hint="default"/>
          <w:color w:val="auto"/>
          <w:lang w:val="en-US" w:eastAsia="zh-CN"/>
        </w:rPr>
      </w:pPr>
      <w:r>
        <w:rPr>
          <w:rFonts w:hint="eastAsia"/>
          <w:color w:val="auto"/>
          <w:lang w:val="en-US" w:eastAsia="zh-CN"/>
        </w:rPr>
        <w:t>“</w:t>
      </w:r>
      <w:r>
        <w:rPr>
          <w:rFonts w:hint="default"/>
          <w:color w:val="auto"/>
          <w:lang w:val="en-US" w:eastAsia="zh-CN"/>
        </w:rPr>
        <w:t>大拆大建</w:t>
      </w:r>
      <w:r>
        <w:rPr>
          <w:rFonts w:hint="eastAsia"/>
          <w:color w:val="auto"/>
          <w:lang w:val="en-US" w:eastAsia="zh-CN"/>
        </w:rPr>
        <w:t>”</w:t>
      </w:r>
      <w:r>
        <w:rPr>
          <w:rFonts w:hint="default"/>
          <w:color w:val="auto"/>
          <w:lang w:val="en-US" w:eastAsia="zh-CN"/>
        </w:rPr>
        <w:t>和</w:t>
      </w:r>
      <w:r>
        <w:rPr>
          <w:rFonts w:hint="eastAsia"/>
          <w:color w:val="auto"/>
          <w:lang w:val="en-US" w:eastAsia="zh-CN"/>
        </w:rPr>
        <w:t>“</w:t>
      </w:r>
      <w:r>
        <w:rPr>
          <w:rFonts w:hint="default"/>
          <w:color w:val="auto"/>
          <w:lang w:val="en-US" w:eastAsia="zh-CN"/>
        </w:rPr>
        <w:t>短命建筑</w:t>
      </w:r>
      <w:r>
        <w:rPr>
          <w:rFonts w:hint="eastAsia"/>
          <w:color w:val="auto"/>
          <w:lang w:val="en-US" w:eastAsia="zh-CN"/>
        </w:rPr>
        <w:t>”</w:t>
      </w:r>
      <w:r>
        <w:rPr>
          <w:rFonts w:hint="default"/>
          <w:color w:val="auto"/>
          <w:lang w:val="en-US" w:eastAsia="zh-CN"/>
        </w:rPr>
        <w:t>是导致建筑垃圾产量增加的重要因素之一，应当科学</w:t>
      </w:r>
      <w:r>
        <w:rPr>
          <w:rFonts w:hint="eastAsia"/>
          <w:color w:val="auto"/>
          <w:lang w:val="en-US" w:eastAsia="zh-CN"/>
        </w:rPr>
        <w:t>地</w:t>
      </w:r>
      <w:r>
        <w:rPr>
          <w:rFonts w:hint="default"/>
          <w:color w:val="auto"/>
          <w:lang w:val="en-US" w:eastAsia="zh-CN"/>
        </w:rPr>
        <w:t>去做好旧建筑的处置评价工作，通过科学和适当的方法选择正确的旧建筑处理方案。相对于拆除重建而言，发展旧建筑的更新改造不仅能节约资源，也能减少建筑垃圾的产量。因此在旧建筑的处置评价工作当中，应当</w:t>
      </w:r>
      <w:r>
        <w:rPr>
          <w:rFonts w:hint="eastAsia"/>
          <w:color w:val="auto"/>
          <w:lang w:val="en-US" w:eastAsia="zh-CN"/>
        </w:rPr>
        <w:t>着重</w:t>
      </w:r>
      <w:r>
        <w:rPr>
          <w:rFonts w:hint="default"/>
          <w:color w:val="auto"/>
          <w:lang w:val="en-US" w:eastAsia="zh-CN"/>
        </w:rPr>
        <w:t>发展旧建筑的</w:t>
      </w:r>
      <w:r>
        <w:rPr>
          <w:rFonts w:hint="eastAsia"/>
          <w:color w:val="auto"/>
          <w:lang w:val="en-US" w:eastAsia="zh-CN"/>
        </w:rPr>
        <w:t>“</w:t>
      </w:r>
      <w:r>
        <w:rPr>
          <w:rFonts w:hint="default"/>
          <w:color w:val="auto"/>
          <w:lang w:val="en-US" w:eastAsia="zh-CN"/>
        </w:rPr>
        <w:t>资源化再利用</w:t>
      </w:r>
      <w:r>
        <w:rPr>
          <w:rFonts w:hint="eastAsia"/>
          <w:color w:val="auto"/>
          <w:lang w:val="en-US" w:eastAsia="zh-CN"/>
        </w:rPr>
        <w:t>”</w:t>
      </w:r>
      <w:r>
        <w:rPr>
          <w:rFonts w:hint="default"/>
          <w:color w:val="auto"/>
          <w:lang w:val="en-US" w:eastAsia="zh-CN"/>
        </w:rPr>
        <w:t>。</w:t>
      </w:r>
    </w:p>
    <w:p w14:paraId="2B651D54">
      <w:pPr>
        <w:bidi w:val="0"/>
        <w:rPr>
          <w:rFonts w:hint="eastAsia"/>
          <w:color w:val="auto"/>
          <w:lang w:val="en-US" w:eastAsia="zh-CN"/>
        </w:rPr>
      </w:pPr>
      <w:r>
        <w:rPr>
          <w:rFonts w:hint="eastAsia"/>
          <w:color w:val="auto"/>
          <w:lang w:val="en-US" w:eastAsia="zh-CN"/>
        </w:rPr>
        <w:t>（3）优化建筑物的拆解方式</w:t>
      </w:r>
    </w:p>
    <w:p w14:paraId="3F82AE04">
      <w:pPr>
        <w:bidi w:val="0"/>
        <w:rPr>
          <w:rFonts w:hint="default"/>
          <w:color w:val="auto"/>
          <w:lang w:val="en-US" w:eastAsia="zh-CN"/>
        </w:rPr>
      </w:pPr>
      <w:r>
        <w:rPr>
          <w:rFonts w:hint="default"/>
          <w:color w:val="auto"/>
          <w:lang w:val="en-US" w:eastAsia="zh-CN"/>
        </w:rPr>
        <w:t>优化拆解方法能够有效</w:t>
      </w:r>
      <w:r>
        <w:rPr>
          <w:rFonts w:hint="eastAsia"/>
          <w:color w:val="auto"/>
          <w:lang w:val="en-US" w:eastAsia="zh-CN"/>
        </w:rPr>
        <w:t>地</w:t>
      </w:r>
      <w:r>
        <w:rPr>
          <w:rFonts w:hint="default"/>
          <w:color w:val="auto"/>
          <w:lang w:val="en-US" w:eastAsia="zh-CN"/>
        </w:rPr>
        <w:t>提高旧建材</w:t>
      </w:r>
      <w:r>
        <w:rPr>
          <w:rFonts w:hint="eastAsia"/>
          <w:color w:val="auto"/>
          <w:lang w:val="en-US" w:eastAsia="zh-CN"/>
        </w:rPr>
        <w:t>地再</w:t>
      </w:r>
      <w:r>
        <w:rPr>
          <w:rFonts w:hint="default"/>
          <w:color w:val="auto"/>
          <w:lang w:val="en-US" w:eastAsia="zh-CN"/>
        </w:rPr>
        <w:t>利用率。如分离拆解或者分类别拆解，人工拆除内部装修、机械拆除建筑物的混合拆除方式就可提高建材再利用率</w:t>
      </w:r>
      <w:r>
        <w:rPr>
          <w:rFonts w:hint="eastAsia"/>
          <w:color w:val="auto"/>
          <w:lang w:val="en-US" w:eastAsia="zh-CN"/>
        </w:rPr>
        <w:t>；</w:t>
      </w:r>
      <w:r>
        <w:rPr>
          <w:rFonts w:hint="default"/>
          <w:color w:val="auto"/>
          <w:lang w:val="en-US" w:eastAsia="zh-CN"/>
        </w:rPr>
        <w:t>又</w:t>
      </w:r>
      <w:r>
        <w:rPr>
          <w:rFonts w:hint="eastAsia"/>
          <w:color w:val="auto"/>
          <w:lang w:val="en-US" w:eastAsia="zh-CN"/>
        </w:rPr>
        <w:t>或者</w:t>
      </w:r>
      <w:r>
        <w:rPr>
          <w:rFonts w:hint="default"/>
          <w:color w:val="auto"/>
          <w:lang w:val="en-US" w:eastAsia="zh-CN"/>
        </w:rPr>
        <w:t>采取建筑物的选择性拆解或者解构拆解，这些拆解方法</w:t>
      </w:r>
      <w:r>
        <w:rPr>
          <w:rFonts w:hint="eastAsia"/>
          <w:color w:val="auto"/>
          <w:lang w:val="en-US" w:eastAsia="zh-CN"/>
        </w:rPr>
        <w:t>都能有效</w:t>
      </w:r>
      <w:r>
        <w:rPr>
          <w:rFonts w:hint="default"/>
          <w:color w:val="auto"/>
          <w:lang w:val="en-US" w:eastAsia="zh-CN"/>
        </w:rPr>
        <w:t>提高旧建材的再生利用率。</w:t>
      </w:r>
    </w:p>
    <w:p w14:paraId="57AB6651">
      <w:pPr>
        <w:pStyle w:val="4"/>
        <w:bidi w:val="0"/>
        <w:rPr>
          <w:rFonts w:hint="eastAsia"/>
          <w:color w:val="auto"/>
          <w:lang w:val="en-US" w:eastAsia="zh-CN"/>
        </w:rPr>
      </w:pPr>
      <w:bookmarkStart w:id="55" w:name="_Toc9188"/>
      <w:r>
        <w:rPr>
          <w:rFonts w:hint="eastAsia"/>
          <w:color w:val="auto"/>
          <w:lang w:val="en-US" w:eastAsia="zh-CN"/>
        </w:rPr>
        <w:t>5.2.4 装修垃圾</w:t>
      </w:r>
      <w:bookmarkEnd w:id="55"/>
    </w:p>
    <w:p w14:paraId="68CCAB62">
      <w:pPr>
        <w:bidi w:val="0"/>
        <w:rPr>
          <w:rFonts w:hint="default"/>
          <w:color w:val="auto"/>
          <w:lang w:val="en-US" w:eastAsia="zh-CN"/>
        </w:rPr>
      </w:pPr>
      <w:r>
        <w:rPr>
          <w:rFonts w:hint="default"/>
          <w:color w:val="auto"/>
          <w:lang w:val="en-US" w:eastAsia="zh-CN"/>
        </w:rPr>
        <w:t>通过推广全装修房、改善施工工艺和提高施工水平等多种方式，从源头上减少装修垃圾的产生量。</w:t>
      </w:r>
    </w:p>
    <w:p w14:paraId="3EF64884">
      <w:pPr>
        <w:pStyle w:val="3"/>
        <w:bidi w:val="0"/>
        <w:rPr>
          <w:rFonts w:hint="default"/>
          <w:color w:val="auto"/>
          <w:lang w:val="en-US" w:eastAsia="zh-CN"/>
        </w:rPr>
      </w:pPr>
      <w:bookmarkStart w:id="56" w:name="_Toc5690"/>
      <w:r>
        <w:rPr>
          <w:rFonts w:hint="eastAsia"/>
          <w:color w:val="auto"/>
          <w:lang w:val="en-US" w:eastAsia="zh-CN"/>
        </w:rPr>
        <w:t>5</w:t>
      </w:r>
      <w:r>
        <w:rPr>
          <w:rFonts w:hint="default"/>
          <w:color w:val="auto"/>
          <w:lang w:val="en-US" w:eastAsia="zh-CN"/>
        </w:rPr>
        <w:t>.3 建筑垃圾源头污染防治要求</w:t>
      </w:r>
      <w:bookmarkEnd w:id="56"/>
    </w:p>
    <w:p w14:paraId="3EC4A6CF">
      <w:pPr>
        <w:pStyle w:val="4"/>
        <w:bidi w:val="0"/>
        <w:rPr>
          <w:rFonts w:hint="default"/>
          <w:color w:val="auto"/>
          <w:lang w:val="en-US" w:eastAsia="zh-CN"/>
        </w:rPr>
      </w:pPr>
      <w:bookmarkStart w:id="57" w:name="_Toc3508"/>
      <w:r>
        <w:rPr>
          <w:rFonts w:hint="eastAsia"/>
          <w:color w:val="auto"/>
          <w:lang w:val="en-US" w:eastAsia="zh-CN"/>
        </w:rPr>
        <w:t>5.3.1 严格处置核准要求</w:t>
      </w:r>
      <w:bookmarkEnd w:id="57"/>
    </w:p>
    <w:p w14:paraId="4DF5EC5F">
      <w:pPr>
        <w:bidi w:val="0"/>
        <w:rPr>
          <w:rFonts w:hint="default"/>
          <w:color w:val="auto"/>
          <w:lang w:val="en-US" w:eastAsia="zh-CN"/>
        </w:rPr>
      </w:pPr>
      <w:r>
        <w:rPr>
          <w:rFonts w:hint="default"/>
          <w:color w:val="auto"/>
          <w:lang w:val="en-US" w:eastAsia="zh-CN"/>
        </w:rPr>
        <w:t>贯彻落实建筑垃圾处置核准制度，按照《建设部关于纳入国务院决定的十五项行政许可的条件的规定》，对符合有关要求的，办理《</w:t>
      </w:r>
      <w:r>
        <w:rPr>
          <w:rFonts w:hint="eastAsia"/>
          <w:color w:val="auto"/>
          <w:lang w:val="en-US" w:eastAsia="zh-CN"/>
        </w:rPr>
        <w:t>建筑垃圾处置（排放）证</w:t>
      </w:r>
      <w:r>
        <w:rPr>
          <w:rFonts w:hint="default"/>
          <w:color w:val="auto"/>
          <w:lang w:val="en-US" w:eastAsia="zh-CN"/>
        </w:rPr>
        <w:t>》</w:t>
      </w:r>
      <w:r>
        <w:rPr>
          <w:rFonts w:hint="eastAsia"/>
          <w:color w:val="auto"/>
          <w:lang w:val="en-US" w:eastAsia="zh-CN"/>
        </w:rPr>
        <w:t>及</w:t>
      </w:r>
      <w:r>
        <w:rPr>
          <w:rFonts w:hint="default"/>
          <w:color w:val="auto"/>
          <w:lang w:val="en-US" w:eastAsia="zh-CN"/>
        </w:rPr>
        <w:t>《建筑垃圾处理方案备案》。根据要求向</w:t>
      </w:r>
      <w:r>
        <w:rPr>
          <w:rFonts w:hint="eastAsia"/>
          <w:color w:val="auto"/>
          <w:lang w:val="en-US" w:eastAsia="zh-CN"/>
        </w:rPr>
        <w:t>属地建筑垃圾主管部门</w:t>
      </w:r>
      <w:r>
        <w:rPr>
          <w:rFonts w:hint="default"/>
          <w:color w:val="auto"/>
          <w:lang w:val="en-US" w:eastAsia="zh-CN"/>
        </w:rPr>
        <w:t>提出申请，</w:t>
      </w:r>
      <w:r>
        <w:rPr>
          <w:rFonts w:hint="eastAsia"/>
          <w:color w:val="auto"/>
          <w:lang w:val="en-US" w:eastAsia="zh-CN"/>
        </w:rPr>
        <w:t>取得</w:t>
      </w:r>
      <w:r>
        <w:rPr>
          <w:rFonts w:hint="default"/>
          <w:color w:val="auto"/>
          <w:lang w:val="en-US" w:eastAsia="zh-CN"/>
        </w:rPr>
        <w:t>建筑垃圾处置核准后方可处置。对于未经核准的任何单位和个人，不得擅自处置建筑垃圾</w:t>
      </w:r>
      <w:r>
        <w:rPr>
          <w:rFonts w:hint="eastAsia"/>
          <w:color w:val="auto"/>
          <w:lang w:val="en-US" w:eastAsia="zh-CN"/>
        </w:rPr>
        <w:t>。</w:t>
      </w:r>
    </w:p>
    <w:p w14:paraId="708A1EA6">
      <w:pPr>
        <w:pStyle w:val="4"/>
        <w:bidi w:val="0"/>
        <w:rPr>
          <w:rFonts w:hint="default"/>
          <w:color w:val="auto"/>
          <w:lang w:val="en-US" w:eastAsia="zh-CN"/>
        </w:rPr>
      </w:pPr>
      <w:bookmarkStart w:id="58" w:name="_Toc2501"/>
      <w:r>
        <w:rPr>
          <w:rFonts w:hint="eastAsia"/>
          <w:color w:val="auto"/>
          <w:lang w:val="en-US" w:eastAsia="zh-CN"/>
        </w:rPr>
        <w:t xml:space="preserve">5.3.2 </w:t>
      </w:r>
      <w:r>
        <w:rPr>
          <w:rFonts w:hint="default"/>
          <w:color w:val="auto"/>
          <w:lang w:val="en-US" w:eastAsia="zh-CN"/>
        </w:rPr>
        <w:t>做好大气污染防治</w:t>
      </w:r>
      <w:bookmarkEnd w:id="58"/>
    </w:p>
    <w:p w14:paraId="5141024D">
      <w:pPr>
        <w:rPr>
          <w:rFonts w:hint="default"/>
          <w:color w:val="auto"/>
          <w:lang w:val="en-US" w:eastAsia="zh-CN"/>
        </w:rPr>
      </w:pPr>
      <w:r>
        <w:rPr>
          <w:rFonts w:hint="eastAsia"/>
          <w:color w:val="auto"/>
          <w:lang w:val="en-US" w:eastAsia="zh-CN"/>
        </w:rPr>
        <w:t>严格落实施工工地动态管理清单制度，强化扬尘防治过程专人督导、重点工地实时监控、传输通道重点控尘等措施，全面做好施工工地扬尘管控责任落实，提高建筑施工标准化水平，构建过程全覆盖、管理全方位、责任全链条的建筑施工扬尘治理体系。重点区域道路、水务等线性工程进行分段施工。加强工地扬尘数字监管，建筑工地宜安装扬尘在线监测和视频监控设备。</w:t>
      </w:r>
    </w:p>
    <w:p w14:paraId="5DCBB59B">
      <w:pPr>
        <w:pStyle w:val="4"/>
        <w:bidi w:val="0"/>
        <w:rPr>
          <w:rFonts w:hint="eastAsia"/>
          <w:color w:val="auto"/>
          <w:lang w:val="en-US" w:eastAsia="zh-CN"/>
        </w:rPr>
      </w:pPr>
      <w:bookmarkStart w:id="59" w:name="_Toc17474"/>
      <w:r>
        <w:rPr>
          <w:rFonts w:hint="eastAsia"/>
          <w:color w:val="auto"/>
          <w:lang w:val="en-US" w:eastAsia="zh-CN"/>
        </w:rPr>
        <w:t>5.3.3 做好噪声污染防治</w:t>
      </w:r>
      <w:bookmarkEnd w:id="59"/>
    </w:p>
    <w:p w14:paraId="2E203169">
      <w:pPr>
        <w:rPr>
          <w:rFonts w:hint="default"/>
          <w:b w:val="0"/>
          <w:bCs w:val="0"/>
          <w:color w:val="auto"/>
          <w:lang w:val="en-US" w:eastAsia="zh-CN"/>
        </w:rPr>
      </w:pPr>
      <w:r>
        <w:rPr>
          <w:rFonts w:hint="eastAsia"/>
          <w:b w:val="0"/>
          <w:bCs w:val="0"/>
          <w:color w:val="auto"/>
          <w:lang w:val="en-US" w:eastAsia="zh-CN"/>
        </w:rPr>
        <w:t>强化夜间施工管理，减少施工噪声扰民。各部门根据自身职责，加强对本行政区域内建筑施工噪声污染防治统一监管，建筑施工单位应做好噪声污染防治设施安装并保持正常使用，支持推广使用低噪声建筑施工机械设备和工艺。纳入声环境重点排污单位名录的建筑施工单位做好建筑施工噪声超标排放等信息公开。除抢修、抢险作业等特殊需要必须连续作业外，禁止夜间在市区噪声敏感建筑物集中区域内进行产生环境噪声污染的建筑施工作业。有关主管部门加强对建筑施工单位夜间施工作业间隔时间等的指导规范。</w:t>
      </w:r>
    </w:p>
    <w:p w14:paraId="7A0695C5">
      <w:pPr>
        <w:pStyle w:val="4"/>
        <w:bidi w:val="0"/>
        <w:rPr>
          <w:rFonts w:hint="eastAsia"/>
          <w:color w:val="auto"/>
          <w:lang w:val="en-US" w:eastAsia="zh-CN"/>
        </w:rPr>
      </w:pPr>
      <w:bookmarkStart w:id="60" w:name="_Toc17963"/>
      <w:r>
        <w:rPr>
          <w:rFonts w:hint="eastAsia"/>
          <w:color w:val="auto"/>
          <w:lang w:val="en-US" w:eastAsia="zh-CN"/>
        </w:rPr>
        <w:t>5.3.4 做好水环境污染防治</w:t>
      </w:r>
      <w:bookmarkEnd w:id="60"/>
    </w:p>
    <w:p w14:paraId="6883A7D9">
      <w:pPr>
        <w:rPr>
          <w:rFonts w:hint="eastAsia"/>
          <w:b w:val="0"/>
          <w:bCs w:val="0"/>
          <w:color w:val="auto"/>
          <w:lang w:val="en-US" w:eastAsia="zh-CN"/>
        </w:rPr>
      </w:pPr>
      <w:r>
        <w:rPr>
          <w:rFonts w:hint="eastAsia"/>
          <w:b w:val="0"/>
          <w:bCs w:val="0"/>
          <w:color w:val="auto"/>
          <w:lang w:val="en-US" w:eastAsia="zh-CN"/>
        </w:rPr>
        <w:t>严格落实相关废水处置要求，完善建筑工地污染防治长效管理机制。建立健全施工现场废水及泥浆处置责任制度和规章制度。规范建筑泥浆处置管控、建筑工地施工取用水、工地生活废水处置，施工单位应在项目开工前编制排水方案，建设单位在项目开工前依法办理污水排入排水管网许可证。规范自建房打桩产生建筑泥浆处置，属地街道办事处社区要对自建房建设定期组织巡查监督。</w:t>
      </w:r>
    </w:p>
    <w:p w14:paraId="3241D8C6">
      <w:pPr>
        <w:rPr>
          <w:rFonts w:hint="eastAsia"/>
          <w:color w:val="auto"/>
          <w:lang w:val="en-US" w:eastAsia="zh-CN"/>
        </w:rPr>
      </w:pPr>
      <w:r>
        <w:rPr>
          <w:rFonts w:hint="eastAsia"/>
          <w:color w:val="auto"/>
          <w:lang w:val="en-US" w:eastAsia="zh-CN"/>
        </w:rPr>
        <w:br w:type="page"/>
      </w:r>
    </w:p>
    <w:p w14:paraId="11428DA1">
      <w:pPr>
        <w:pStyle w:val="2"/>
        <w:bidi w:val="0"/>
        <w:rPr>
          <w:rFonts w:hint="default"/>
          <w:color w:val="auto"/>
          <w:lang w:val="en-US" w:eastAsia="zh-CN"/>
        </w:rPr>
      </w:pPr>
      <w:bookmarkStart w:id="61" w:name="_Toc13318"/>
      <w:r>
        <w:rPr>
          <w:rFonts w:hint="default"/>
          <w:color w:val="auto"/>
          <w:lang w:val="en-US" w:eastAsia="zh-CN"/>
        </w:rPr>
        <w:t>第</w:t>
      </w:r>
      <w:r>
        <w:rPr>
          <w:rFonts w:hint="eastAsia"/>
          <w:color w:val="auto"/>
          <w:lang w:val="en-US" w:eastAsia="zh-CN"/>
        </w:rPr>
        <w:t>六</w:t>
      </w:r>
      <w:r>
        <w:rPr>
          <w:rFonts w:hint="default"/>
          <w:color w:val="auto"/>
          <w:lang w:val="en-US" w:eastAsia="zh-CN"/>
        </w:rPr>
        <w:t xml:space="preserve">章 </w:t>
      </w:r>
      <w:r>
        <w:rPr>
          <w:rFonts w:hint="eastAsia"/>
          <w:color w:val="auto"/>
          <w:lang w:val="en-US" w:eastAsia="zh-CN"/>
        </w:rPr>
        <w:t>建筑垃圾收集运输规划</w:t>
      </w:r>
      <w:bookmarkEnd w:id="61"/>
    </w:p>
    <w:p w14:paraId="3259CC04">
      <w:pPr>
        <w:pStyle w:val="3"/>
        <w:bidi w:val="0"/>
        <w:rPr>
          <w:rFonts w:hint="eastAsia"/>
          <w:color w:val="auto"/>
          <w:lang w:val="en-US" w:eastAsia="zh-CN"/>
        </w:rPr>
      </w:pPr>
      <w:bookmarkStart w:id="62" w:name="_Toc14498"/>
      <w:r>
        <w:rPr>
          <w:rFonts w:hint="eastAsia"/>
          <w:color w:val="auto"/>
          <w:lang w:val="en-US" w:eastAsia="zh-CN"/>
        </w:rPr>
        <w:t>6.1 建筑垃圾收运模式</w:t>
      </w:r>
      <w:bookmarkEnd w:id="62"/>
    </w:p>
    <w:p w14:paraId="42AA40AC">
      <w:pPr>
        <w:pStyle w:val="4"/>
        <w:bidi w:val="0"/>
        <w:rPr>
          <w:rFonts w:hint="default"/>
          <w:color w:val="auto"/>
          <w:lang w:val="en-US" w:eastAsia="zh-CN"/>
        </w:rPr>
      </w:pPr>
      <w:bookmarkStart w:id="63" w:name="_Toc1391"/>
      <w:r>
        <w:rPr>
          <w:rFonts w:hint="eastAsia"/>
          <w:color w:val="auto"/>
          <w:lang w:val="en-US" w:eastAsia="zh-CN"/>
        </w:rPr>
        <w:t>6.1.1 建筑垃圾收运主体</w:t>
      </w:r>
      <w:bookmarkEnd w:id="63"/>
    </w:p>
    <w:p w14:paraId="53880C11">
      <w:pPr>
        <w:bidi w:val="0"/>
        <w:rPr>
          <w:rFonts w:hint="default"/>
          <w:color w:val="auto"/>
          <w:lang w:val="en-US" w:eastAsia="zh-CN"/>
        </w:rPr>
      </w:pPr>
      <w:r>
        <w:rPr>
          <w:rFonts w:hint="default"/>
          <w:b/>
          <w:bCs/>
          <w:color w:val="auto"/>
          <w:lang w:val="en-US" w:eastAsia="zh-CN"/>
        </w:rPr>
        <w:t>建筑垃圾</w:t>
      </w:r>
      <w:r>
        <w:rPr>
          <w:rFonts w:hint="eastAsia"/>
          <w:b/>
          <w:bCs/>
          <w:color w:val="auto"/>
          <w:lang w:val="en-US" w:eastAsia="zh-CN"/>
        </w:rPr>
        <w:t>运输</w:t>
      </w:r>
      <w:r>
        <w:rPr>
          <w:rFonts w:hint="default"/>
          <w:b/>
          <w:bCs/>
          <w:color w:val="auto"/>
          <w:lang w:val="en-US" w:eastAsia="zh-CN"/>
        </w:rPr>
        <w:t>由</w:t>
      </w:r>
      <w:r>
        <w:rPr>
          <w:rFonts w:hint="eastAsia"/>
          <w:b/>
          <w:bCs/>
          <w:color w:val="auto"/>
          <w:lang w:val="en-US" w:eastAsia="zh-CN"/>
        </w:rPr>
        <w:t>取得运输核准的专业运输公司</w:t>
      </w:r>
      <w:r>
        <w:rPr>
          <w:rFonts w:hint="default"/>
          <w:b/>
          <w:bCs/>
          <w:color w:val="auto"/>
          <w:lang w:val="en-US" w:eastAsia="zh-CN"/>
        </w:rPr>
        <w:t>负责。</w:t>
      </w:r>
      <w:r>
        <w:rPr>
          <w:rFonts w:hint="default"/>
          <w:color w:val="auto"/>
          <w:lang w:val="en-US" w:eastAsia="zh-CN"/>
        </w:rPr>
        <w:t>严格运输核准与监管</w:t>
      </w:r>
      <w:r>
        <w:rPr>
          <w:rFonts w:hint="eastAsia"/>
          <w:color w:val="auto"/>
          <w:lang w:val="en-US" w:eastAsia="zh-CN"/>
        </w:rPr>
        <w:t>，</w:t>
      </w:r>
      <w:r>
        <w:rPr>
          <w:rFonts w:hint="default"/>
          <w:color w:val="auto"/>
          <w:lang w:val="en-US" w:eastAsia="zh-CN"/>
        </w:rPr>
        <w:t>实施运输企业、运输车辆专库专项管理，加强建筑垃圾运输车辆和驾驶人员监管，依法严格执行建筑垃圾运输企业及车辆准入制度，规范核准流程，向社会公布建筑垃圾运输企业、运输车辆信息。运输企业严禁承接未经备案的工程项目建筑垃圾运输业务。产生建筑垃圾的单位或个人应委托经核准的运输企业承运。建筑垃圾运输车辆应当严格按照</w:t>
      </w:r>
      <w:r>
        <w:rPr>
          <w:rFonts w:hint="eastAsia"/>
          <w:color w:val="auto"/>
          <w:lang w:val="en-US" w:eastAsia="zh-CN"/>
        </w:rPr>
        <w:t>建筑垃圾主管部门及</w:t>
      </w:r>
      <w:r>
        <w:rPr>
          <w:rFonts w:hint="default"/>
          <w:color w:val="auto"/>
          <w:lang w:val="en-US" w:eastAsia="zh-CN"/>
        </w:rPr>
        <w:t>公安交管部门规定的时间、线路行驶。深化建筑垃圾运输专项整治，重点查处</w:t>
      </w:r>
      <w:r>
        <w:rPr>
          <w:rFonts w:hint="eastAsia"/>
          <w:color w:val="auto"/>
          <w:lang w:val="en-US" w:eastAsia="zh-CN"/>
        </w:rPr>
        <w:t>“</w:t>
      </w:r>
      <w:r>
        <w:rPr>
          <w:rFonts w:hint="default"/>
          <w:color w:val="auto"/>
          <w:lang w:val="en-US" w:eastAsia="zh-CN"/>
        </w:rPr>
        <w:t>黑车</w:t>
      </w:r>
      <w:r>
        <w:rPr>
          <w:rFonts w:hint="eastAsia"/>
          <w:color w:val="auto"/>
          <w:lang w:val="en-US" w:eastAsia="zh-CN"/>
        </w:rPr>
        <w:t>”</w:t>
      </w:r>
      <w:r>
        <w:rPr>
          <w:rFonts w:hint="default"/>
          <w:color w:val="auto"/>
          <w:lang w:val="en-US" w:eastAsia="zh-CN"/>
        </w:rPr>
        <w:t>运输、故意污损遮挡号牌、未密闭、带泥上路、未按时间路线行驶、乱弃乱倒建筑垃圾等违法违规行为。</w:t>
      </w:r>
    </w:p>
    <w:p w14:paraId="311DEC86">
      <w:pPr>
        <w:pStyle w:val="4"/>
        <w:bidi w:val="0"/>
        <w:rPr>
          <w:rFonts w:hint="default" w:ascii="Times New Roman" w:hAnsi="Times New Roman" w:cs="Times New Roman"/>
          <w:color w:val="auto"/>
          <w:sz w:val="24"/>
          <w:szCs w:val="24"/>
          <w:lang w:val="en-US" w:eastAsia="zh-CN"/>
        </w:rPr>
      </w:pPr>
      <w:bookmarkStart w:id="64" w:name="_Toc32660"/>
      <w:r>
        <w:rPr>
          <w:rFonts w:hint="eastAsia"/>
          <w:color w:val="auto"/>
          <w:lang w:val="en-US" w:eastAsia="zh-CN"/>
        </w:rPr>
        <w:t>6</w:t>
      </w:r>
      <w:r>
        <w:rPr>
          <w:rFonts w:hint="default"/>
          <w:color w:val="auto"/>
          <w:lang w:val="en-US" w:eastAsia="zh-CN"/>
        </w:rPr>
        <w:t>.</w:t>
      </w:r>
      <w:r>
        <w:rPr>
          <w:rFonts w:hint="eastAsia"/>
          <w:color w:val="auto"/>
          <w:lang w:val="en-US" w:eastAsia="zh-CN"/>
        </w:rPr>
        <w:t>1</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建筑垃圾收运流程</w:t>
      </w:r>
      <w:bookmarkEnd w:id="64"/>
    </w:p>
    <w:p w14:paraId="3C77A18C">
      <w:pPr>
        <w:bidi w:val="0"/>
        <w:rPr>
          <w:rFonts w:hint="default"/>
          <w:color w:val="auto"/>
          <w:lang w:val="en-US" w:eastAsia="zh-CN"/>
        </w:rPr>
      </w:pPr>
      <w:r>
        <w:rPr>
          <w:rFonts w:hint="default"/>
          <w:color w:val="auto"/>
          <w:lang w:val="en-US" w:eastAsia="zh-CN"/>
        </w:rPr>
        <w:t>工程渣土、工程泥浆、工程垃圾、拆除垃圾和装修垃圾因成分构成、产生位置、处置方式等多方面的不同，收运体系也有所差异。</w:t>
      </w:r>
    </w:p>
    <w:p w14:paraId="71E76F90">
      <w:pPr>
        <w:bidi w:val="0"/>
        <w:rPr>
          <w:rFonts w:hint="eastAsia"/>
          <w:color w:val="auto"/>
          <w:lang w:val="en-US" w:eastAsia="zh-CN"/>
        </w:rPr>
      </w:pPr>
      <w:r>
        <w:rPr>
          <w:rFonts w:hint="eastAsia"/>
          <w:color w:val="auto"/>
          <w:lang w:val="en-US" w:eastAsia="zh-CN"/>
        </w:rPr>
        <w:t>（一）工程渣土、工程泥浆、工程垃圾</w:t>
      </w:r>
    </w:p>
    <w:p w14:paraId="49214003">
      <w:pPr>
        <w:bidi w:val="0"/>
        <w:rPr>
          <w:rFonts w:hint="eastAsia"/>
          <w:color w:val="auto"/>
          <w:lang w:val="en-US" w:eastAsia="zh-CN"/>
        </w:rPr>
      </w:pPr>
      <w:r>
        <w:rPr>
          <w:rFonts w:hint="eastAsia"/>
          <w:color w:val="auto"/>
          <w:lang w:val="en-US" w:eastAsia="zh-CN"/>
        </w:rPr>
        <w:t>（1）建设单位（含房地产开发企业）应当将建筑垃圾运输处置费用单独列项计价，并确保及时足额支付相关费用；明确本工程建筑垃圾、土方（弃土）的产生量处置方式和清运工期；应当选择取得相关核准的建筑垃圾运输企业和建筑垃圾消纳处置场所。委托方应当与运输企业签订委托清运合同，与建筑垃圾消纳处置场所签订处置协议，明确建筑垃圾运输处置费用的结算方式和结算进度。</w:t>
      </w:r>
    </w:p>
    <w:p w14:paraId="5B5D19BF">
      <w:pPr>
        <w:bidi w:val="0"/>
        <w:rPr>
          <w:rFonts w:hint="default"/>
          <w:color w:val="auto"/>
          <w:lang w:val="en-US" w:eastAsia="zh-CN"/>
        </w:rPr>
      </w:pPr>
      <w:r>
        <w:rPr>
          <w:rFonts w:hint="eastAsia"/>
          <w:color w:val="auto"/>
          <w:lang w:val="en-US" w:eastAsia="zh-CN"/>
        </w:rPr>
        <w:t>（2）建设单位应向属地城市建筑垃圾主管部门申请《建筑垃圾处置（排放）证》。工程施工单位要制定建筑垃圾处理方案，并在开工前将工程概况、建筑垃圾产生量与种类以及源头减量、分类收集、利用处置的目标和措施，向属地城市建筑垃圾主管部门备案。推行建筑垃圾处置手续与建筑工程施工许可并联办理。</w:t>
      </w:r>
    </w:p>
    <w:p w14:paraId="0F4B63A1">
      <w:pPr>
        <w:bidi w:val="0"/>
        <w:rPr>
          <w:rFonts w:hint="eastAsia"/>
          <w:color w:val="auto"/>
          <w:lang w:val="en-US" w:eastAsia="zh-CN"/>
        </w:rPr>
      </w:pPr>
      <w:r>
        <w:rPr>
          <w:rFonts w:hint="eastAsia"/>
          <w:color w:val="auto"/>
          <w:lang w:val="en-US" w:eastAsia="zh-CN"/>
        </w:rPr>
        <w:t>（3）施工单位应当按照相关要求，在施工现场门口设置车辆清洗设施，在基坑土方施工阶段，宜安装高效洗轮机。施工现场还应当设置密闭式垃圾站，将建筑垃圾与生活垃圾分类存放和清运，具备条件的应当按照规定进行就地资源化利用。在建筑物内的建筑垃圾清运，应当采用容器或管道运输，严禁凌空抛掷。施工单位应当按照规定及时清运建筑垃圾，在施工现场暂存或清运建筑垃圾时，应当采取覆盖、洒水等降尘措施。</w:t>
      </w:r>
    </w:p>
    <w:p w14:paraId="0E51FE35">
      <w:pPr>
        <w:bidi w:val="0"/>
        <w:rPr>
          <w:rFonts w:hint="eastAsia"/>
          <w:color w:val="auto"/>
          <w:lang w:val="en-US" w:eastAsia="zh-CN"/>
        </w:rPr>
      </w:pPr>
      <w:r>
        <w:rPr>
          <w:rFonts w:hint="eastAsia"/>
          <w:color w:val="auto"/>
          <w:lang w:val="en-US" w:eastAsia="zh-CN"/>
        </w:rPr>
        <w:t>（4）施工单位应当在施工现场门口设立检查点，按照“进门查证、出门查车”原则，安排专人对进出施工现场的运输车逐一检查，做好登记。工地要安装视频监控设备，并接入建筑垃圾主管部门的建筑垃圾监控系统，依托信息管理系统，对施工工地实施实时监管。</w:t>
      </w:r>
    </w:p>
    <w:p w14:paraId="718B1C48">
      <w:pPr>
        <w:bidi w:val="0"/>
        <w:rPr>
          <w:rFonts w:hint="eastAsia"/>
          <w:color w:val="auto"/>
          <w:lang w:val="en-US" w:eastAsia="zh-CN"/>
        </w:rPr>
      </w:pPr>
      <w:r>
        <w:rPr>
          <w:rFonts w:hint="eastAsia"/>
          <w:color w:val="auto"/>
          <w:lang w:val="en-US" w:eastAsia="zh-CN"/>
        </w:rPr>
        <w:t>（5）运输车辆驶入施工现场时，施工单位应检查运输车辆的核准证明，无准运或持无效准运证的运输车辆一律不得驶入施工现场。运输车辆驶出施工现场时，施工单位检查人员应当检查运输车辆号牌是否污损、车厢密闭装置是否闭合、车轮车身是否带泥等情况，未达要求的运输车辆一律不得驶出施工现场。对不符合进出施工现场要求的运输车辆，经施工单位检查人员劝阻拒不及时改正，仍然强行驶入或驶出施工现场的，施工单位应当及时将车辆牌号和违法违规情况向公安部门举报。</w:t>
      </w:r>
    </w:p>
    <w:p w14:paraId="38F90740">
      <w:pPr>
        <w:bidi w:val="0"/>
        <w:rPr>
          <w:rFonts w:hint="eastAsia" w:cs="Times New Roman"/>
          <w:color w:val="auto"/>
          <w:szCs w:val="24"/>
          <w:lang w:val="en-US" w:eastAsia="zh-CN"/>
        </w:rPr>
      </w:pPr>
    </w:p>
    <w:p w14:paraId="2F4C7BEF">
      <w:pPr>
        <w:keepNext w:val="0"/>
        <w:keepLines w:val="0"/>
        <w:pageBreakBefore w:val="0"/>
        <w:widowControl/>
        <w:kinsoku w:val="0"/>
        <w:wordWrap/>
        <w:overflowPunct/>
        <w:topLinePunct w:val="0"/>
        <w:autoSpaceDE w:val="0"/>
        <w:autoSpaceDN w:val="0"/>
        <w:bidi w:val="0"/>
        <w:adjustRightInd w:val="0"/>
        <w:snapToGrid w:val="0"/>
        <w:ind w:left="0" w:leftChars="0" w:firstLine="480" w:firstLineChars="200"/>
        <w:jc w:val="both"/>
        <w:textAlignment w:val="baseline"/>
        <w:rPr>
          <w:rFonts w:hint="eastAsia" w:cs="Times New Roman"/>
          <w:color w:val="auto"/>
          <w:sz w:val="24"/>
          <w:szCs w:val="24"/>
          <w:lang w:val="en-US" w:eastAsia="zh-CN"/>
        </w:rPr>
      </w:pPr>
      <w:r>
        <w:rPr>
          <w:rFonts w:hint="eastAsia" w:cs="Times New Roman"/>
          <w:color w:val="auto"/>
          <w:sz w:val="24"/>
          <w:szCs w:val="24"/>
          <w:lang w:val="en-US" w:eastAsia="zh-CN"/>
        </w:rPr>
        <w:drawing>
          <wp:inline distT="0" distB="0" distL="114300" distR="114300">
            <wp:extent cx="5739130" cy="8072120"/>
            <wp:effectExtent l="0" t="0" r="13970" b="5080"/>
            <wp:docPr id="6" name="图片 6" descr="工程垃圾运输路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工程垃圾运输路线图"/>
                    <pic:cNvPicPr>
                      <a:picLocks noChangeAspect="1"/>
                    </pic:cNvPicPr>
                  </pic:nvPicPr>
                  <pic:blipFill>
                    <a:blip r:embed="rId13"/>
                    <a:stretch>
                      <a:fillRect/>
                    </a:stretch>
                  </pic:blipFill>
                  <pic:spPr>
                    <a:xfrm>
                      <a:off x="0" y="0"/>
                      <a:ext cx="5739130" cy="8072120"/>
                    </a:xfrm>
                    <a:prstGeom prst="rect">
                      <a:avLst/>
                    </a:prstGeom>
                  </pic:spPr>
                </pic:pic>
              </a:graphicData>
            </a:graphic>
          </wp:inline>
        </w:drawing>
      </w:r>
    </w:p>
    <w:p w14:paraId="52996D52">
      <w:pPr>
        <w:bidi w:val="0"/>
        <w:jc w:val="center"/>
        <w:rPr>
          <w:rFonts w:hint="default"/>
          <w:color w:val="auto"/>
          <w:lang w:val="en-US" w:eastAsia="zh-CN"/>
        </w:rPr>
      </w:pPr>
      <w:r>
        <w:rPr>
          <w:rFonts w:hint="eastAsia"/>
          <w:b/>
          <w:bCs/>
          <w:color w:val="auto"/>
          <w:sz w:val="24"/>
          <w:szCs w:val="20"/>
          <w:lang w:val="en-US" w:eastAsia="zh-CN"/>
        </w:rPr>
        <w:t>图6.1-1 工程渣土、工程泥浆、工程垃圾收运流程图</w:t>
      </w:r>
    </w:p>
    <w:p w14:paraId="70006472">
      <w:pPr>
        <w:bidi w:val="0"/>
        <w:rPr>
          <w:rFonts w:hint="eastAsia"/>
          <w:color w:val="auto"/>
          <w:lang w:val="en-US" w:eastAsia="zh-CN"/>
        </w:rPr>
      </w:pPr>
      <w:r>
        <w:rPr>
          <w:rFonts w:hint="eastAsia"/>
          <w:color w:val="auto"/>
          <w:lang w:val="en-US" w:eastAsia="zh-CN"/>
        </w:rPr>
        <w:t>（二）拆除垃圾</w:t>
      </w:r>
    </w:p>
    <w:p w14:paraId="1AE5444B">
      <w:pPr>
        <w:bidi w:val="0"/>
        <w:rPr>
          <w:rFonts w:hint="default"/>
          <w:color w:val="auto"/>
          <w:lang w:val="en-US" w:eastAsia="zh-CN"/>
        </w:rPr>
      </w:pPr>
      <w:r>
        <w:rPr>
          <w:rFonts w:hint="default"/>
          <w:color w:val="auto"/>
          <w:lang w:val="en-US" w:eastAsia="zh-CN"/>
        </w:rPr>
        <w:t>拆除施工单位是拆除垃圾产生源头现场管理的责任单位，应按照</w:t>
      </w:r>
      <w:r>
        <w:rPr>
          <w:rFonts w:hint="eastAsia"/>
          <w:color w:val="auto"/>
          <w:lang w:val="en-US" w:eastAsia="zh-CN"/>
        </w:rPr>
        <w:t>建筑</w:t>
      </w:r>
      <w:r>
        <w:rPr>
          <w:rFonts w:hint="default"/>
          <w:color w:val="auto"/>
          <w:lang w:val="en-US" w:eastAsia="zh-CN"/>
        </w:rPr>
        <w:t>垃圾规范堆放的有关要求，配备现场管理人员进行分类堆放。拆除垃圾应实施源头分拣，按照金属类、塑料类、木质类、砖石类</w:t>
      </w:r>
      <w:r>
        <w:rPr>
          <w:rFonts w:hint="eastAsia"/>
          <w:color w:val="auto"/>
          <w:lang w:val="en-US" w:eastAsia="zh-CN"/>
        </w:rPr>
        <w:t>（</w:t>
      </w:r>
      <w:r>
        <w:rPr>
          <w:rFonts w:hint="default"/>
          <w:color w:val="auto"/>
          <w:lang w:val="en-US" w:eastAsia="zh-CN"/>
        </w:rPr>
        <w:t>含玻璃、瓷砖</w:t>
      </w:r>
      <w:r>
        <w:rPr>
          <w:rFonts w:hint="eastAsia"/>
          <w:color w:val="auto"/>
          <w:lang w:val="en-US" w:eastAsia="zh-CN"/>
        </w:rPr>
        <w:t>）</w:t>
      </w:r>
      <w:r>
        <w:rPr>
          <w:rFonts w:hint="default"/>
          <w:color w:val="auto"/>
          <w:lang w:val="en-US" w:eastAsia="zh-CN"/>
        </w:rPr>
        <w:t>等进行分类堆放</w:t>
      </w:r>
      <w:r>
        <w:rPr>
          <w:rFonts w:hint="eastAsia"/>
          <w:color w:val="auto"/>
          <w:lang w:val="en-US" w:eastAsia="zh-CN"/>
        </w:rPr>
        <w:t>；</w:t>
      </w:r>
      <w:r>
        <w:rPr>
          <w:rFonts w:hint="default"/>
          <w:color w:val="auto"/>
          <w:lang w:val="en-US" w:eastAsia="zh-CN"/>
        </w:rPr>
        <w:t>对于可能混入生活垃圾、工业垃圾和有毒有害垃圾等的拆除垃圾，应单独分出，并通过相应的专门处置渠道进行规范处置。</w:t>
      </w:r>
    </w:p>
    <w:p w14:paraId="5B944236">
      <w:pPr>
        <w:bidi w:val="0"/>
        <w:rPr>
          <w:rFonts w:hint="default"/>
          <w:color w:val="auto"/>
          <w:lang w:val="en-US" w:eastAsia="zh-CN"/>
        </w:rPr>
      </w:pPr>
      <w:r>
        <w:rPr>
          <w:rFonts w:hint="default"/>
          <w:color w:val="auto"/>
          <w:lang w:val="en-US" w:eastAsia="zh-CN"/>
        </w:rPr>
        <w:t>拆除垃圾经分拣后产生的不同类别，按不同属性分类处置。</w:t>
      </w:r>
    </w:p>
    <w:p w14:paraId="49A7203B">
      <w:pPr>
        <w:bidi w:val="0"/>
        <w:rPr>
          <w:rFonts w:hint="default"/>
          <w:color w:val="auto"/>
          <w:lang w:val="en-US" w:eastAsia="zh-CN"/>
        </w:rPr>
      </w:pPr>
      <w:r>
        <w:rPr>
          <w:rFonts w:hint="eastAsia"/>
          <w:color w:val="auto"/>
          <w:lang w:val="en-US" w:eastAsia="zh-CN"/>
        </w:rPr>
        <w:t>（1）</w:t>
      </w:r>
      <w:r>
        <w:rPr>
          <w:rFonts w:hint="default"/>
          <w:color w:val="auto"/>
          <w:lang w:val="en-US" w:eastAsia="zh-CN"/>
        </w:rPr>
        <w:t>对分类分拣后如木材类、金属类、塑料类等能够直接利用的，应优先进入废旧物资回收利用体系进行资源化利用。</w:t>
      </w:r>
    </w:p>
    <w:p w14:paraId="140E1746">
      <w:pPr>
        <w:bidi w:val="0"/>
        <w:rPr>
          <w:rFonts w:hint="default"/>
          <w:color w:val="auto"/>
          <w:lang w:val="en-US" w:eastAsia="zh-CN"/>
        </w:rPr>
      </w:pPr>
      <w:r>
        <w:rPr>
          <w:rFonts w:hint="eastAsia"/>
          <w:color w:val="auto"/>
          <w:lang w:val="en-US" w:eastAsia="zh-CN"/>
        </w:rPr>
        <w:t>（2）</w:t>
      </w:r>
      <w:r>
        <w:rPr>
          <w:rFonts w:hint="default"/>
          <w:color w:val="auto"/>
          <w:lang w:val="en-US" w:eastAsia="zh-CN"/>
        </w:rPr>
        <w:t>砖石类的拆除垃圾应运输至资源化利用设施、规范的处置场所或转运场站进行处理或贮存。</w:t>
      </w:r>
    </w:p>
    <w:p w14:paraId="6BAE27EB">
      <w:pPr>
        <w:bidi w:val="0"/>
        <w:rPr>
          <w:rFonts w:hint="default"/>
          <w:color w:val="auto"/>
          <w:lang w:val="en-US" w:eastAsia="zh-CN"/>
        </w:rPr>
      </w:pPr>
      <w:r>
        <w:rPr>
          <w:rFonts w:hint="eastAsia"/>
          <w:color w:val="auto"/>
          <w:lang w:val="en-US" w:eastAsia="zh-CN"/>
        </w:rPr>
        <w:t>（3）</w:t>
      </w:r>
      <w:r>
        <w:rPr>
          <w:rFonts w:hint="default"/>
          <w:color w:val="auto"/>
          <w:lang w:val="en-US" w:eastAsia="zh-CN"/>
        </w:rPr>
        <w:t>对分拣后的残渣，可燃物质可运至垃圾焚烧厂处置，不可利用物质运至规范的处置场处置。</w:t>
      </w:r>
    </w:p>
    <w:p w14:paraId="1E1E111E">
      <w:pPr>
        <w:bidi w:val="0"/>
        <w:rPr>
          <w:rFonts w:hint="default"/>
          <w:color w:val="auto"/>
          <w:lang w:val="en-US" w:eastAsia="zh-CN"/>
        </w:rPr>
      </w:pPr>
      <w:r>
        <w:rPr>
          <w:rFonts w:hint="default"/>
          <w:color w:val="auto"/>
          <w:lang w:val="en-US" w:eastAsia="zh-CN"/>
        </w:rPr>
        <w:t>拆除垃圾收运管理应满足以下几点。</w:t>
      </w:r>
    </w:p>
    <w:p w14:paraId="2DBABF47">
      <w:pPr>
        <w:bidi w:val="0"/>
        <w:rPr>
          <w:rFonts w:hint="default"/>
          <w:color w:val="auto"/>
          <w:lang w:val="en-US" w:eastAsia="zh-CN"/>
        </w:rPr>
      </w:pPr>
      <w:r>
        <w:rPr>
          <w:rFonts w:hint="eastAsia"/>
          <w:color w:val="auto"/>
          <w:lang w:val="en-US" w:eastAsia="zh-CN"/>
        </w:rPr>
        <w:t>（1）</w:t>
      </w:r>
      <w:r>
        <w:rPr>
          <w:rFonts w:hint="default"/>
          <w:color w:val="auto"/>
          <w:lang w:val="en-US" w:eastAsia="zh-CN"/>
        </w:rPr>
        <w:t>严格落实</w:t>
      </w:r>
      <w:r>
        <w:rPr>
          <w:rFonts w:hint="eastAsia"/>
          <w:color w:val="auto"/>
          <w:lang w:val="en-US" w:eastAsia="zh-CN"/>
        </w:rPr>
        <w:t>“核准备案</w:t>
      </w:r>
      <w:r>
        <w:rPr>
          <w:rFonts w:hint="default"/>
          <w:color w:val="auto"/>
          <w:lang w:val="en-US" w:eastAsia="zh-CN"/>
        </w:rPr>
        <w:t>制度</w:t>
      </w:r>
      <w:r>
        <w:rPr>
          <w:rFonts w:hint="eastAsia"/>
          <w:color w:val="auto"/>
          <w:lang w:val="en-US" w:eastAsia="zh-CN"/>
        </w:rPr>
        <w:t>”</w:t>
      </w:r>
      <w:r>
        <w:rPr>
          <w:rFonts w:hint="default"/>
          <w:color w:val="auto"/>
          <w:lang w:val="en-US" w:eastAsia="zh-CN"/>
        </w:rPr>
        <w:t>，加强建筑垃圾源头</w:t>
      </w:r>
      <w:r>
        <w:rPr>
          <w:rFonts w:hint="eastAsia"/>
          <w:color w:val="auto"/>
          <w:lang w:val="en-US" w:eastAsia="zh-CN"/>
        </w:rPr>
        <w:t>核准备案</w:t>
      </w:r>
      <w:r>
        <w:rPr>
          <w:rFonts w:hint="default"/>
          <w:color w:val="auto"/>
          <w:lang w:val="en-US" w:eastAsia="zh-CN"/>
        </w:rPr>
        <w:t>管理，健全产生者核准</w:t>
      </w:r>
      <w:r>
        <w:rPr>
          <w:rFonts w:hint="eastAsia"/>
          <w:color w:val="auto"/>
          <w:lang w:val="en-US" w:eastAsia="zh-CN"/>
        </w:rPr>
        <w:t>备案</w:t>
      </w:r>
      <w:r>
        <w:rPr>
          <w:rFonts w:hint="default"/>
          <w:color w:val="auto"/>
          <w:lang w:val="en-US" w:eastAsia="zh-CN"/>
        </w:rPr>
        <w:t>、住建部门监管的管理机制。</w:t>
      </w:r>
      <w:r>
        <w:rPr>
          <w:rFonts w:hint="eastAsia"/>
          <w:color w:val="auto"/>
          <w:lang w:val="en-US" w:eastAsia="zh-CN"/>
        </w:rPr>
        <w:t>拆除</w:t>
      </w:r>
      <w:r>
        <w:rPr>
          <w:rFonts w:hint="default"/>
          <w:color w:val="auto"/>
          <w:lang w:val="en-US" w:eastAsia="zh-CN"/>
        </w:rPr>
        <w:t>建设单位</w:t>
      </w:r>
      <w:r>
        <w:rPr>
          <w:rFonts w:hint="eastAsia"/>
          <w:color w:val="auto"/>
          <w:lang w:val="en-US" w:eastAsia="zh-CN"/>
        </w:rPr>
        <w:t>应向属地城市建筑垃圾主管部门申请《建筑垃圾处置（排放）证》</w:t>
      </w:r>
      <w:r>
        <w:rPr>
          <w:rFonts w:hint="default"/>
          <w:color w:val="auto"/>
          <w:lang w:val="en-US" w:eastAsia="zh-CN"/>
        </w:rPr>
        <w:t>。属地城市建筑垃圾主管部门在办理建筑拆除工程备案时，应当核对建设单位提供的《</w:t>
      </w:r>
      <w:r>
        <w:rPr>
          <w:rFonts w:hint="eastAsia"/>
          <w:color w:val="auto"/>
          <w:lang w:val="en-US" w:eastAsia="zh-CN"/>
        </w:rPr>
        <w:t>建筑垃圾处置（排放）证</w:t>
      </w:r>
      <w:r>
        <w:rPr>
          <w:rFonts w:hint="default"/>
          <w:color w:val="auto"/>
          <w:lang w:val="en-US" w:eastAsia="zh-CN"/>
        </w:rPr>
        <w:t>》</w:t>
      </w:r>
      <w:r>
        <w:rPr>
          <w:rFonts w:hint="eastAsia"/>
          <w:color w:val="auto"/>
          <w:lang w:val="en-US" w:eastAsia="zh-CN"/>
        </w:rPr>
        <w:t>、</w:t>
      </w:r>
      <w:r>
        <w:rPr>
          <w:rFonts w:hint="default"/>
          <w:color w:val="auto"/>
          <w:lang w:val="en-US" w:eastAsia="zh-CN"/>
        </w:rPr>
        <w:t>运输企业</w:t>
      </w:r>
      <w:r>
        <w:rPr>
          <w:rFonts w:hint="eastAsia"/>
          <w:color w:val="auto"/>
          <w:lang w:val="en-US" w:eastAsia="zh-CN"/>
        </w:rPr>
        <w:t>的《建筑垃圾处置（运输）证》</w:t>
      </w:r>
      <w:r>
        <w:rPr>
          <w:rFonts w:hint="default"/>
          <w:color w:val="auto"/>
          <w:lang w:val="en-US" w:eastAsia="zh-CN"/>
        </w:rPr>
        <w:t>、运输车辆准运证、</w:t>
      </w:r>
      <w:r>
        <w:rPr>
          <w:rFonts w:hint="eastAsia"/>
          <w:color w:val="auto"/>
          <w:lang w:val="en-US" w:eastAsia="zh-CN"/>
        </w:rPr>
        <w:t>建筑垃圾处置场所的《建筑垃圾处置（处理）证》</w:t>
      </w:r>
      <w:r>
        <w:rPr>
          <w:rFonts w:hint="default"/>
          <w:color w:val="auto"/>
          <w:lang w:val="en-US" w:eastAsia="zh-CN"/>
        </w:rPr>
        <w:t>等证明材料。不符合要求的，不得进行</w:t>
      </w:r>
      <w:r>
        <w:rPr>
          <w:rFonts w:hint="eastAsia"/>
          <w:color w:val="auto"/>
          <w:lang w:val="en-US" w:eastAsia="zh-CN"/>
        </w:rPr>
        <w:t>拆除</w:t>
      </w:r>
      <w:r>
        <w:rPr>
          <w:rFonts w:hint="default"/>
          <w:color w:val="auto"/>
          <w:lang w:val="en-US" w:eastAsia="zh-CN"/>
        </w:rPr>
        <w:t>作业。</w:t>
      </w:r>
    </w:p>
    <w:p w14:paraId="1EC566F9">
      <w:pPr>
        <w:bidi w:val="0"/>
        <w:rPr>
          <w:rFonts w:hint="default"/>
          <w:color w:val="auto"/>
          <w:lang w:val="en-US" w:eastAsia="zh-CN"/>
        </w:rPr>
      </w:pPr>
      <w:r>
        <w:rPr>
          <w:rFonts w:hint="eastAsia"/>
          <w:color w:val="auto"/>
          <w:lang w:val="en-US" w:eastAsia="zh-CN"/>
        </w:rPr>
        <w:t>（2）</w:t>
      </w:r>
      <w:r>
        <w:rPr>
          <w:rFonts w:hint="default"/>
          <w:color w:val="auto"/>
          <w:lang w:val="en-US" w:eastAsia="zh-CN"/>
        </w:rPr>
        <w:t>建筑拆除工程</w:t>
      </w:r>
      <w:r>
        <w:rPr>
          <w:rFonts w:hint="eastAsia"/>
          <w:color w:val="auto"/>
          <w:lang w:val="en-US" w:eastAsia="zh-CN"/>
        </w:rPr>
        <w:t>宜</w:t>
      </w:r>
      <w:r>
        <w:rPr>
          <w:rFonts w:hint="default"/>
          <w:color w:val="auto"/>
          <w:lang w:val="en-US" w:eastAsia="zh-CN"/>
        </w:rPr>
        <w:t>实行建筑拆除、资源化利用一体化管理。拆除工程发包</w:t>
      </w:r>
      <w:r>
        <w:rPr>
          <w:rFonts w:hint="eastAsia"/>
          <w:color w:val="auto"/>
          <w:lang w:val="en-US" w:eastAsia="zh-CN"/>
        </w:rPr>
        <w:t>单位</w:t>
      </w:r>
      <w:r>
        <w:rPr>
          <w:rFonts w:hint="default"/>
          <w:color w:val="auto"/>
          <w:lang w:val="en-US" w:eastAsia="zh-CN"/>
        </w:rPr>
        <w:t>可将建筑拆除同建筑垃圾资源化利用一并发包，鼓励发包给具有建筑垃圾资源化</w:t>
      </w:r>
      <w:r>
        <w:rPr>
          <w:rFonts w:hint="eastAsia"/>
          <w:color w:val="auto"/>
          <w:lang w:val="en-US" w:eastAsia="zh-CN"/>
        </w:rPr>
        <w:t>利</w:t>
      </w:r>
      <w:r>
        <w:rPr>
          <w:rFonts w:hint="default"/>
          <w:color w:val="auto"/>
          <w:lang w:val="en-US" w:eastAsia="zh-CN"/>
        </w:rPr>
        <w:t>用能力的拆除工程单位或由建筑垃圾资源化利用单位和拆除工程单位组成的联合</w:t>
      </w:r>
      <w:r>
        <w:rPr>
          <w:rFonts w:hint="eastAsia"/>
          <w:color w:val="auto"/>
          <w:lang w:val="en-US" w:eastAsia="zh-CN"/>
        </w:rPr>
        <w:t>体。</w:t>
      </w:r>
      <w:r>
        <w:rPr>
          <w:rFonts w:hint="default"/>
          <w:color w:val="auto"/>
          <w:lang w:val="en-US" w:eastAsia="zh-CN"/>
        </w:rPr>
        <w:t>拆除工程发包单位应对承包单位的建筑垃圾资源化利用业绩、设备和人员等情况</w:t>
      </w:r>
      <w:r>
        <w:rPr>
          <w:rFonts w:hint="eastAsia"/>
          <w:color w:val="auto"/>
          <w:lang w:val="en-US" w:eastAsia="zh-CN"/>
        </w:rPr>
        <w:t>进</w:t>
      </w:r>
      <w:r>
        <w:rPr>
          <w:rFonts w:hint="default"/>
          <w:color w:val="auto"/>
          <w:lang w:val="en-US" w:eastAsia="zh-CN"/>
        </w:rPr>
        <w:t>行核实。鼓励拆除工程在拆除现场实施建筑垃圾资源化综合利用。</w:t>
      </w:r>
    </w:p>
    <w:p w14:paraId="1FB41B7B">
      <w:pPr>
        <w:bidi w:val="0"/>
        <w:rPr>
          <w:rFonts w:hint="default"/>
          <w:color w:val="auto"/>
          <w:lang w:val="en-US" w:eastAsia="zh-CN"/>
        </w:rPr>
      </w:pPr>
      <w:r>
        <w:rPr>
          <w:rFonts w:hint="eastAsia"/>
          <w:color w:val="auto"/>
          <w:lang w:val="en-US" w:eastAsia="zh-CN"/>
        </w:rPr>
        <w:t>（3）</w:t>
      </w:r>
      <w:r>
        <w:rPr>
          <w:rFonts w:hint="default"/>
          <w:color w:val="auto"/>
          <w:lang w:val="en-US" w:eastAsia="zh-CN"/>
        </w:rPr>
        <w:t>拆除实施前，发包单位应会同承包单位制定《建筑垃圾资源化综合利用方案》。拆除工程完成后，发包单位应向</w:t>
      </w:r>
      <w:r>
        <w:rPr>
          <w:rFonts w:hint="eastAsia"/>
          <w:color w:val="auto"/>
          <w:lang w:val="en-US" w:eastAsia="zh-CN"/>
        </w:rPr>
        <w:t>属地</w:t>
      </w:r>
      <w:r>
        <w:rPr>
          <w:rFonts w:hint="default"/>
          <w:color w:val="auto"/>
          <w:lang w:val="en-US" w:eastAsia="zh-CN"/>
        </w:rPr>
        <w:t>建筑垃圾</w:t>
      </w:r>
      <w:r>
        <w:rPr>
          <w:rFonts w:hint="eastAsia"/>
          <w:color w:val="auto"/>
          <w:lang w:val="en-US" w:eastAsia="zh-CN"/>
        </w:rPr>
        <w:t>主管部门</w:t>
      </w:r>
      <w:r>
        <w:rPr>
          <w:rFonts w:hint="default"/>
          <w:color w:val="auto"/>
          <w:lang w:val="en-US" w:eastAsia="zh-CN"/>
        </w:rPr>
        <w:t>提供建筑垃圾资源化综合利用情况的报告，并提供相应证明材料，明确拆除产生的建筑垃圾去向。</w:t>
      </w:r>
    </w:p>
    <w:p w14:paraId="03E025FD">
      <w:pPr>
        <w:bidi w:val="0"/>
        <w:rPr>
          <w:rFonts w:hint="default"/>
          <w:color w:val="auto"/>
          <w:lang w:val="en-US" w:eastAsia="zh-CN"/>
        </w:rPr>
      </w:pPr>
      <w:r>
        <w:rPr>
          <w:rFonts w:hint="eastAsia"/>
          <w:color w:val="auto"/>
          <w:lang w:val="en-US" w:eastAsia="zh-CN"/>
        </w:rPr>
        <w:t>（4）</w:t>
      </w:r>
      <w:r>
        <w:rPr>
          <w:rFonts w:hint="default"/>
          <w:color w:val="auto"/>
          <w:lang w:val="en-US" w:eastAsia="zh-CN"/>
        </w:rPr>
        <w:t>所有工程必须做到封闭施工和降尘施工，施工出入口应当硬化，设立车辆冲洗设备和沉淀池，严禁在车行道上堆放施工材料和建筑垃圾。工地开工后，工程渣土和拆除垃圾按照管理要求分类堆放。工地实行视频监控，同时执法部门不定期地到工地进行巡查，若有建筑垃圾管理违法违规行为，将情况抄送住建部门，作为文明工地考评、企业诚信记录及现场安全文明施工措施费等考评的内容。</w:t>
      </w:r>
    </w:p>
    <w:p w14:paraId="2A751E9F">
      <w:pPr>
        <w:bidi w:val="0"/>
        <w:rPr>
          <w:rFonts w:hint="default"/>
          <w:color w:val="auto"/>
          <w:lang w:val="en-US" w:eastAsia="zh-CN"/>
        </w:rPr>
      </w:pPr>
      <w:r>
        <w:rPr>
          <w:rFonts w:hint="eastAsia"/>
          <w:color w:val="auto"/>
          <w:lang w:val="en-US" w:eastAsia="zh-CN"/>
        </w:rPr>
        <w:t>（5）</w:t>
      </w:r>
      <w:r>
        <w:rPr>
          <w:rFonts w:hint="default"/>
          <w:color w:val="auto"/>
          <w:lang w:val="en-US" w:eastAsia="zh-CN"/>
        </w:rPr>
        <w:t>加强对建筑物拆除现场监管，对无法及时处置的建筑垃圾做好围挡、覆盖和绿化工作，严防生活垃圾混入。</w:t>
      </w:r>
    </w:p>
    <w:p w14:paraId="7796D173">
      <w:pPr>
        <w:bidi w:val="0"/>
        <w:ind w:left="0" w:leftChars="0" w:firstLine="0" w:firstLineChars="0"/>
        <w:rPr>
          <w:rFonts w:hint="default"/>
          <w:color w:val="auto"/>
          <w:lang w:val="en-US" w:eastAsia="zh-CN"/>
        </w:rPr>
      </w:pPr>
      <w:r>
        <w:rPr>
          <w:rFonts w:hint="default"/>
          <w:color w:val="auto"/>
          <w:lang w:val="en-US" w:eastAsia="zh-CN"/>
        </w:rPr>
        <w:drawing>
          <wp:inline distT="0" distB="0" distL="114300" distR="114300">
            <wp:extent cx="5744845" cy="8040370"/>
            <wp:effectExtent l="0" t="0" r="8255" b="17780"/>
            <wp:docPr id="7" name="图片 7" descr="拆除垃圾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拆除垃圾流程图"/>
                    <pic:cNvPicPr>
                      <a:picLocks noChangeAspect="1"/>
                    </pic:cNvPicPr>
                  </pic:nvPicPr>
                  <pic:blipFill>
                    <a:blip r:embed="rId14"/>
                    <a:stretch>
                      <a:fillRect/>
                    </a:stretch>
                  </pic:blipFill>
                  <pic:spPr>
                    <a:xfrm>
                      <a:off x="0" y="0"/>
                      <a:ext cx="5744845" cy="8040370"/>
                    </a:xfrm>
                    <a:prstGeom prst="rect">
                      <a:avLst/>
                    </a:prstGeom>
                  </pic:spPr>
                </pic:pic>
              </a:graphicData>
            </a:graphic>
          </wp:inline>
        </w:drawing>
      </w:r>
    </w:p>
    <w:p w14:paraId="4B31506B">
      <w:pPr>
        <w:bidi w:val="0"/>
        <w:jc w:val="center"/>
        <w:rPr>
          <w:rFonts w:hint="default"/>
          <w:b/>
          <w:bCs/>
          <w:color w:val="auto"/>
          <w:sz w:val="24"/>
          <w:szCs w:val="20"/>
          <w:lang w:val="en-US" w:eastAsia="zh-CN"/>
        </w:rPr>
      </w:pPr>
      <w:r>
        <w:rPr>
          <w:rFonts w:hint="eastAsia"/>
          <w:b/>
          <w:bCs/>
          <w:color w:val="auto"/>
          <w:sz w:val="24"/>
          <w:szCs w:val="20"/>
          <w:lang w:val="en-US" w:eastAsia="zh-CN"/>
        </w:rPr>
        <w:t>图6.1-2 拆除垃圾收运流程图</w:t>
      </w:r>
    </w:p>
    <w:p w14:paraId="1199C124">
      <w:pPr>
        <w:pStyle w:val="12"/>
        <w:rPr>
          <w:rFonts w:hint="default"/>
          <w:color w:val="auto"/>
          <w:lang w:val="en-US" w:eastAsia="zh-CN"/>
        </w:rPr>
      </w:pPr>
    </w:p>
    <w:p w14:paraId="0840C2BF">
      <w:pPr>
        <w:bidi w:val="0"/>
        <w:rPr>
          <w:rFonts w:hint="eastAsia"/>
          <w:color w:val="auto"/>
          <w:lang w:val="en-US" w:eastAsia="zh-CN"/>
        </w:rPr>
      </w:pPr>
      <w:r>
        <w:rPr>
          <w:rFonts w:hint="eastAsia"/>
          <w:color w:val="auto"/>
          <w:lang w:val="en-US" w:eastAsia="zh-CN"/>
        </w:rPr>
        <w:t>（三）装修垃圾</w:t>
      </w:r>
    </w:p>
    <w:p w14:paraId="43786CDC">
      <w:pPr>
        <w:bidi w:val="0"/>
        <w:rPr>
          <w:rFonts w:hint="eastAsia"/>
          <w:color w:val="auto"/>
          <w:lang w:val="en-US" w:eastAsia="zh-CN"/>
        </w:rPr>
      </w:pPr>
      <w:r>
        <w:rPr>
          <w:rFonts w:hint="eastAsia"/>
          <w:color w:val="auto"/>
          <w:lang w:val="en-US" w:eastAsia="zh-CN"/>
        </w:rPr>
        <w:t>装修垃圾应分类收集、运输和处置。居民住宅小区内产生的装修垃圾要规范处置按照“能分则分、能用则用”的原则进行回收和资源化利用，装修垃圾可分为可回收利用材料（如木材、胶合板、废旧钢材、塑料等，以及混凝土类）和不可回收利用的其他废料。</w:t>
      </w:r>
    </w:p>
    <w:p w14:paraId="02BF3946">
      <w:pPr>
        <w:bidi w:val="0"/>
        <w:rPr>
          <w:rFonts w:hint="default"/>
          <w:color w:val="auto"/>
          <w:lang w:val="en-US" w:eastAsia="zh-CN"/>
        </w:rPr>
      </w:pPr>
      <w:r>
        <w:rPr>
          <w:rFonts w:hint="eastAsia"/>
          <w:color w:val="auto"/>
          <w:lang w:val="en-US" w:eastAsia="zh-CN"/>
        </w:rPr>
        <w:t>装修垃圾收运管理如下：</w:t>
      </w:r>
    </w:p>
    <w:p w14:paraId="32F9533B">
      <w:pPr>
        <w:bidi w:val="0"/>
        <w:rPr>
          <w:rFonts w:hint="eastAsia"/>
          <w:color w:val="auto"/>
          <w:highlight w:val="none"/>
          <w:lang w:val="en-US" w:eastAsia="zh-CN"/>
        </w:rPr>
      </w:pPr>
      <w:r>
        <w:rPr>
          <w:rFonts w:hint="eastAsia"/>
          <w:color w:val="auto"/>
          <w:highlight w:val="none"/>
          <w:lang w:val="en-US" w:eastAsia="zh-CN"/>
        </w:rPr>
        <w:t>（1）总体流程</w:t>
      </w:r>
    </w:p>
    <w:p w14:paraId="1EA0057E">
      <w:pPr>
        <w:bidi w:val="0"/>
        <w:rPr>
          <w:rFonts w:hint="eastAsia"/>
          <w:color w:val="auto"/>
          <w:lang w:val="en-US" w:eastAsia="zh-CN"/>
        </w:rPr>
      </w:pPr>
      <w:r>
        <w:rPr>
          <w:rFonts w:hint="eastAsia"/>
          <w:color w:val="auto"/>
          <w:lang w:val="en-US" w:eastAsia="zh-CN"/>
        </w:rPr>
        <w:t>依托移动端搭建装修垃圾清运监管系统。通过微信小程序，为公众搭建便捷易用的装修垃圾预约窗口，实现从个人主体发起需求到清运完成的全流程闭环管理，保障环节协同流转。</w:t>
      </w:r>
    </w:p>
    <w:p w14:paraId="2FC5EA3A">
      <w:pPr>
        <w:bidi w:val="0"/>
        <w:rPr>
          <w:rFonts w:hint="eastAsia"/>
          <w:color w:val="auto"/>
          <w:highlight w:val="none"/>
          <w:lang w:val="en-US" w:eastAsia="zh-CN"/>
        </w:rPr>
      </w:pPr>
      <w:r>
        <w:rPr>
          <w:rFonts w:hint="eastAsia"/>
          <w:color w:val="auto"/>
          <w:highlight w:val="none"/>
          <w:lang w:val="en-US" w:eastAsia="zh-CN"/>
        </w:rPr>
        <w:t>（2）申请主体及申请流程</w:t>
      </w:r>
    </w:p>
    <w:p w14:paraId="6E9F8F9C">
      <w:pPr>
        <w:bidi w:val="0"/>
        <w:rPr>
          <w:rFonts w:hint="eastAsia"/>
          <w:color w:val="auto"/>
          <w:highlight w:val="none"/>
          <w:lang w:val="en-US" w:eastAsia="zh-CN"/>
        </w:rPr>
      </w:pPr>
      <w:r>
        <w:rPr>
          <w:rFonts w:hint="eastAsia"/>
          <w:color w:val="auto"/>
          <w:highlight w:val="none"/>
          <w:lang w:val="en-US" w:eastAsia="zh-CN"/>
        </w:rPr>
        <w:t>装修垃圾申请主体为居民、个体工商业户等不需要办理装饰装修工程备案项目的主体。个人用户可通过小程序的装修垃圾处理模块进行线上预约，填写个人信息、具体地址及垃圾相关详情后，从系统提供的运输核准企业名录中选定企业，即可提交申请。</w:t>
      </w:r>
    </w:p>
    <w:p w14:paraId="6CCAA3B6">
      <w:pPr>
        <w:bidi w:val="0"/>
        <w:rPr>
          <w:rFonts w:hint="eastAsia"/>
          <w:color w:val="auto"/>
          <w:highlight w:val="none"/>
          <w:lang w:val="en-US" w:eastAsia="zh-CN"/>
        </w:rPr>
      </w:pPr>
      <w:r>
        <w:rPr>
          <w:rFonts w:hint="eastAsia"/>
          <w:color w:val="auto"/>
          <w:highlight w:val="none"/>
          <w:lang w:val="en-US" w:eastAsia="zh-CN"/>
        </w:rPr>
        <w:t>（3）运输及处置流程</w:t>
      </w:r>
    </w:p>
    <w:p w14:paraId="42475A2C">
      <w:pPr>
        <w:bidi w:val="0"/>
        <w:rPr>
          <w:rFonts w:hint="eastAsia"/>
          <w:color w:val="auto"/>
          <w:highlight w:val="none"/>
          <w:lang w:val="en-US" w:eastAsia="zh-CN"/>
        </w:rPr>
      </w:pPr>
      <w:r>
        <w:rPr>
          <w:rFonts w:hint="eastAsia"/>
          <w:color w:val="auto"/>
          <w:highlight w:val="none"/>
          <w:lang w:val="en-US" w:eastAsia="zh-CN"/>
        </w:rPr>
        <w:t>运输企业接单后，将严格依照约定派遣工作人员前往指定地点完成装修垃圾的收运工作。清运费的收取将遵循市场价格标准，确保收费透明合理。收运完成后，垃圾将被运送至距离最近且经过核准的处置场所进行规范处置。​</w:t>
      </w:r>
    </w:p>
    <w:p w14:paraId="0885A14D">
      <w:pPr>
        <w:bidi w:val="0"/>
        <w:rPr>
          <w:rFonts w:hint="eastAsia"/>
          <w:color w:val="auto"/>
          <w:highlight w:val="none"/>
          <w:lang w:val="en-US" w:eastAsia="zh-CN"/>
        </w:rPr>
      </w:pPr>
      <w:r>
        <w:rPr>
          <w:rFonts w:hint="eastAsia"/>
          <w:color w:val="auto"/>
          <w:highlight w:val="none"/>
          <w:lang w:val="en-US" w:eastAsia="zh-CN"/>
        </w:rPr>
        <w:t>为保障处置过程的规范与透明，各环节操作均需通过线上平台进行确认。待整个处置流程完成后，系统会自动反馈处置结果，并生成详细的清运记录进行归档保存，从而全面确保所有信息可随时追溯，实现全过程的规范化管理。</w:t>
      </w:r>
    </w:p>
    <w:p w14:paraId="1F233609">
      <w:pPr>
        <w:bidi w:val="0"/>
        <w:rPr>
          <w:rFonts w:hint="default"/>
          <w:color w:val="auto"/>
          <w:highlight w:val="none"/>
          <w:lang w:val="en-US" w:eastAsia="zh-CN"/>
        </w:rPr>
      </w:pPr>
      <w:r>
        <w:rPr>
          <w:rFonts w:hint="eastAsia"/>
          <w:color w:val="auto"/>
          <w:highlight w:val="none"/>
          <w:lang w:val="en-US" w:eastAsia="zh-CN"/>
        </w:rPr>
        <w:t>（4）责任监管</w:t>
      </w:r>
    </w:p>
    <w:p w14:paraId="48813A4F">
      <w:pPr>
        <w:bidi w:val="0"/>
        <w:rPr>
          <w:rFonts w:hint="default"/>
          <w:color w:val="auto"/>
          <w:highlight w:val="none"/>
          <w:lang w:val="en-US" w:eastAsia="zh-CN"/>
        </w:rPr>
      </w:pPr>
      <w:r>
        <w:rPr>
          <w:rFonts w:hint="default"/>
          <w:color w:val="auto"/>
          <w:highlight w:val="none"/>
          <w:lang w:val="en-US" w:eastAsia="zh-CN"/>
        </w:rPr>
        <w:t>采用装修垃圾管理责任制，实施物业管理的居民住宅小区，责任主体为物业服务企业；未实施物业管理的居民住宅小区，责任主体为属地街道办事处。</w:t>
      </w:r>
    </w:p>
    <w:p w14:paraId="72ED56EA">
      <w:pPr>
        <w:bidi w:val="0"/>
        <w:rPr>
          <w:rFonts w:hint="default"/>
          <w:color w:val="auto"/>
          <w:highlight w:val="none"/>
          <w:lang w:val="en-US" w:eastAsia="zh-CN"/>
        </w:rPr>
      </w:pPr>
      <w:r>
        <w:rPr>
          <w:rFonts w:hint="default"/>
          <w:color w:val="auto"/>
          <w:highlight w:val="none"/>
          <w:lang w:val="en-US" w:eastAsia="zh-CN"/>
        </w:rPr>
        <w:t>装修垃圾管理责任主体应当履行以下义务：</w:t>
      </w:r>
    </w:p>
    <w:p w14:paraId="659A478A">
      <w:pPr>
        <w:bidi w:val="0"/>
        <w:rPr>
          <w:rFonts w:hint="default"/>
          <w:color w:val="auto"/>
          <w:highlight w:val="none"/>
          <w:lang w:val="en-US" w:eastAsia="zh-CN"/>
        </w:rPr>
      </w:pPr>
      <w:r>
        <w:rPr>
          <w:rFonts w:hint="default"/>
          <w:color w:val="auto"/>
          <w:highlight w:val="none"/>
          <w:lang w:val="en-US" w:eastAsia="zh-CN"/>
        </w:rPr>
        <w:t>①设置专门的装修垃圾堆放场所；</w:t>
      </w:r>
    </w:p>
    <w:p w14:paraId="11959603">
      <w:pPr>
        <w:bidi w:val="0"/>
        <w:rPr>
          <w:rFonts w:hint="default"/>
          <w:color w:val="auto"/>
          <w:highlight w:val="none"/>
          <w:lang w:val="en-US" w:eastAsia="zh-CN"/>
        </w:rPr>
      </w:pPr>
      <w:r>
        <w:rPr>
          <w:rFonts w:hint="default"/>
          <w:color w:val="auto"/>
          <w:highlight w:val="none"/>
          <w:lang w:val="en-US" w:eastAsia="zh-CN"/>
        </w:rPr>
        <w:t>②不得将生活垃圾、危险废物混入装修垃圾堆放场所；</w:t>
      </w:r>
    </w:p>
    <w:p w14:paraId="00CE922B">
      <w:pPr>
        <w:bidi w:val="0"/>
        <w:rPr>
          <w:rFonts w:hint="default"/>
          <w:color w:val="auto"/>
          <w:highlight w:val="none"/>
          <w:lang w:val="en-US" w:eastAsia="zh-CN"/>
        </w:rPr>
      </w:pPr>
      <w:r>
        <w:rPr>
          <w:rFonts w:hint="default"/>
          <w:color w:val="auto"/>
          <w:highlight w:val="none"/>
          <w:lang w:val="en-US" w:eastAsia="zh-CN"/>
        </w:rPr>
        <w:t>③引导企业和居民进行装修垃圾分类投放；</w:t>
      </w:r>
    </w:p>
    <w:p w14:paraId="6D352855">
      <w:pPr>
        <w:bidi w:val="0"/>
        <w:rPr>
          <w:rFonts w:hint="default"/>
          <w:color w:val="auto"/>
          <w:highlight w:val="none"/>
          <w:lang w:val="en-US" w:eastAsia="zh-CN"/>
        </w:rPr>
      </w:pPr>
      <w:r>
        <w:rPr>
          <w:rFonts w:hint="default"/>
          <w:color w:val="auto"/>
          <w:highlight w:val="none"/>
          <w:lang w:val="en-US" w:eastAsia="zh-CN"/>
        </w:rPr>
        <w:t>④保持装修垃圾堆放场所整洁，采取措施防止扬尘污染；</w:t>
      </w:r>
    </w:p>
    <w:p w14:paraId="221137A9">
      <w:pPr>
        <w:bidi w:val="0"/>
        <w:rPr>
          <w:rFonts w:hint="default"/>
          <w:color w:val="auto"/>
          <w:highlight w:val="none"/>
          <w:lang w:val="en-US" w:eastAsia="zh-CN"/>
        </w:rPr>
      </w:pPr>
      <w:r>
        <w:rPr>
          <w:rFonts w:hint="default"/>
          <w:color w:val="auto"/>
          <w:highlight w:val="none"/>
          <w:lang w:val="en-US" w:eastAsia="zh-CN"/>
        </w:rPr>
        <w:t>⑤明确装修垃圾投放规范、投放时间、监督投诉方式等事项。</w:t>
      </w:r>
    </w:p>
    <w:p w14:paraId="17DC48F4">
      <w:pPr>
        <w:bidi w:val="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4720590" cy="5266055"/>
            <wp:effectExtent l="0" t="0" r="3810" b="10795"/>
            <wp:docPr id="11" name="图片 11" descr="D:/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Users/Administrator/Desktop/图片1.png图片1"/>
                    <pic:cNvPicPr>
                      <a:picLocks noChangeAspect="1"/>
                    </pic:cNvPicPr>
                  </pic:nvPicPr>
                  <pic:blipFill>
                    <a:blip r:embed="rId15"/>
                    <a:srcRect l="29" r="29"/>
                    <a:stretch>
                      <a:fillRect/>
                    </a:stretch>
                  </pic:blipFill>
                  <pic:spPr>
                    <a:xfrm>
                      <a:off x="0" y="0"/>
                      <a:ext cx="4720590" cy="5266055"/>
                    </a:xfrm>
                    <a:prstGeom prst="rect">
                      <a:avLst/>
                    </a:prstGeom>
                  </pic:spPr>
                </pic:pic>
              </a:graphicData>
            </a:graphic>
          </wp:inline>
        </w:drawing>
      </w:r>
    </w:p>
    <w:p w14:paraId="58340BF3">
      <w:pPr>
        <w:bidi w:val="0"/>
        <w:jc w:val="center"/>
        <w:rPr>
          <w:rFonts w:hint="default"/>
          <w:color w:val="auto"/>
          <w:lang w:val="en-US" w:eastAsia="zh-CN"/>
        </w:rPr>
      </w:pPr>
      <w:r>
        <w:rPr>
          <w:rFonts w:hint="eastAsia"/>
          <w:b/>
          <w:bCs/>
          <w:color w:val="auto"/>
          <w:sz w:val="24"/>
          <w:szCs w:val="20"/>
          <w:lang w:val="en-US" w:eastAsia="zh-CN"/>
        </w:rPr>
        <w:t>图6.1-3 装修垃圾收运流程图</w:t>
      </w:r>
    </w:p>
    <w:p w14:paraId="10D467B7">
      <w:pPr>
        <w:pStyle w:val="12"/>
        <w:ind w:left="0" w:leftChars="0" w:firstLine="0" w:firstLineChars="0"/>
        <w:rPr>
          <w:rFonts w:hint="eastAsia"/>
          <w:color w:val="auto"/>
          <w:lang w:val="en-US" w:eastAsia="zh-CN"/>
        </w:rPr>
      </w:pPr>
    </w:p>
    <w:p w14:paraId="6636E861">
      <w:pPr>
        <w:pStyle w:val="3"/>
        <w:bidi w:val="0"/>
        <w:rPr>
          <w:rFonts w:hint="eastAsia"/>
          <w:color w:val="auto"/>
          <w:lang w:val="en-US" w:eastAsia="zh-CN"/>
        </w:rPr>
      </w:pPr>
      <w:bookmarkStart w:id="65" w:name="_Toc24114"/>
      <w:r>
        <w:rPr>
          <w:rFonts w:hint="eastAsia"/>
          <w:color w:val="auto"/>
          <w:lang w:val="en-US" w:eastAsia="zh-CN"/>
        </w:rPr>
        <w:t>6.2 建筑垃圾收运要求</w:t>
      </w:r>
      <w:bookmarkEnd w:id="65"/>
    </w:p>
    <w:p w14:paraId="198DF6B4">
      <w:pPr>
        <w:bidi w:val="0"/>
        <w:rPr>
          <w:rFonts w:hint="default"/>
          <w:color w:val="auto"/>
          <w:highlight w:val="none"/>
          <w:lang w:val="en-US" w:eastAsia="zh-CN"/>
        </w:rPr>
      </w:pPr>
      <w:r>
        <w:rPr>
          <w:rFonts w:hint="default"/>
          <w:b/>
          <w:bCs/>
          <w:color w:val="auto"/>
          <w:highlight w:val="none"/>
          <w:lang w:val="en-US" w:eastAsia="zh-CN"/>
        </w:rPr>
        <w:t>工程</w:t>
      </w:r>
      <w:r>
        <w:rPr>
          <w:rFonts w:hint="eastAsia"/>
          <w:b/>
          <w:bCs/>
          <w:color w:val="auto"/>
          <w:highlight w:val="none"/>
          <w:lang w:val="en-US" w:eastAsia="zh-CN"/>
        </w:rPr>
        <w:t>建设及</w:t>
      </w:r>
      <w:r>
        <w:rPr>
          <w:rFonts w:hint="default"/>
          <w:b/>
          <w:bCs/>
          <w:color w:val="auto"/>
          <w:highlight w:val="none"/>
          <w:lang w:val="en-US" w:eastAsia="zh-CN"/>
        </w:rPr>
        <w:t>施工单位。</w:t>
      </w:r>
      <w:r>
        <w:rPr>
          <w:rFonts w:hint="default"/>
          <w:color w:val="auto"/>
          <w:highlight w:val="none"/>
          <w:lang w:val="en-US" w:eastAsia="zh-CN"/>
        </w:rPr>
        <w:t>工程</w:t>
      </w:r>
      <w:r>
        <w:rPr>
          <w:rFonts w:hint="eastAsia"/>
          <w:color w:val="auto"/>
          <w:highlight w:val="none"/>
          <w:lang w:val="en-US" w:eastAsia="zh-CN"/>
        </w:rPr>
        <w:t>建设</w:t>
      </w:r>
      <w:r>
        <w:rPr>
          <w:rFonts w:hint="default"/>
          <w:color w:val="auto"/>
          <w:highlight w:val="none"/>
          <w:lang w:val="en-US" w:eastAsia="zh-CN"/>
        </w:rPr>
        <w:t>单位应当向</w:t>
      </w:r>
      <w:r>
        <w:rPr>
          <w:rFonts w:hint="eastAsia"/>
          <w:color w:val="auto"/>
          <w:highlight w:val="none"/>
          <w:lang w:val="en-US" w:eastAsia="zh-CN"/>
        </w:rPr>
        <w:t>属地建筑垃圾主管部门</w:t>
      </w:r>
      <w:r>
        <w:rPr>
          <w:rFonts w:hint="default"/>
          <w:color w:val="auto"/>
          <w:highlight w:val="none"/>
          <w:lang w:val="en-US" w:eastAsia="zh-CN"/>
        </w:rPr>
        <w:t>申请</w:t>
      </w:r>
      <w:r>
        <w:rPr>
          <w:rFonts w:hint="eastAsia"/>
          <w:color w:val="auto"/>
          <w:highlight w:val="none"/>
          <w:lang w:val="en-US" w:eastAsia="zh-CN"/>
        </w:rPr>
        <w:t>《建筑垃圾处置（排放）证》，鼓励《建筑垃圾处置（排放）证》与建设施工许可并联办理</w:t>
      </w:r>
      <w:r>
        <w:rPr>
          <w:rFonts w:hint="default"/>
          <w:color w:val="auto"/>
          <w:highlight w:val="none"/>
          <w:lang w:val="en-US" w:eastAsia="zh-CN"/>
        </w:rPr>
        <w:t>。工程施工单位要制定建筑垃圾处理方案，并在开工前将工程概况、建筑垃圾产生量与种类以及源头减量、分类收集、利用处置的目标和措施，向</w:t>
      </w:r>
      <w:r>
        <w:rPr>
          <w:rFonts w:hint="eastAsia"/>
          <w:color w:val="auto"/>
          <w:highlight w:val="none"/>
          <w:lang w:val="en-US" w:eastAsia="zh-CN"/>
        </w:rPr>
        <w:t>属地建筑垃圾主管部门</w:t>
      </w:r>
      <w:r>
        <w:rPr>
          <w:rFonts w:hint="default"/>
          <w:color w:val="auto"/>
          <w:highlight w:val="none"/>
          <w:lang w:val="en-US" w:eastAsia="zh-CN"/>
        </w:rPr>
        <w:t>备案</w:t>
      </w:r>
      <w:r>
        <w:rPr>
          <w:rFonts w:hint="eastAsia"/>
          <w:color w:val="auto"/>
          <w:highlight w:val="none"/>
          <w:lang w:val="en-US" w:eastAsia="zh-CN"/>
        </w:rPr>
        <w:t>。</w:t>
      </w:r>
      <w:r>
        <w:rPr>
          <w:rFonts w:hint="default"/>
          <w:color w:val="auto"/>
          <w:highlight w:val="none"/>
          <w:lang w:val="en-US" w:eastAsia="zh-CN"/>
        </w:rPr>
        <w:t>施工产生的建筑垃圾应分类堆放，不得混装混运，防止环境污染。工程渣土应及时清理运输</w:t>
      </w:r>
      <w:r>
        <w:rPr>
          <w:rFonts w:hint="eastAsia"/>
          <w:color w:val="auto"/>
          <w:highlight w:val="none"/>
          <w:lang w:val="en-US" w:eastAsia="zh-CN"/>
        </w:rPr>
        <w:t>，</w:t>
      </w:r>
      <w:r>
        <w:rPr>
          <w:rFonts w:hint="default"/>
          <w:color w:val="auto"/>
          <w:highlight w:val="none"/>
          <w:lang w:val="en-US" w:eastAsia="zh-CN"/>
        </w:rPr>
        <w:t>临时堆放时应当采取全覆盖等措施控制扬尘。出入口进行道路硬化，设置冲洗设施等。</w:t>
      </w:r>
    </w:p>
    <w:p w14:paraId="3DE39F08">
      <w:pPr>
        <w:bidi w:val="0"/>
        <w:rPr>
          <w:rFonts w:hint="default"/>
          <w:color w:val="auto"/>
          <w:lang w:val="en-US" w:eastAsia="zh-CN"/>
        </w:rPr>
      </w:pPr>
      <w:r>
        <w:rPr>
          <w:rFonts w:hint="default"/>
          <w:b/>
          <w:bCs/>
          <w:color w:val="auto"/>
          <w:lang w:val="en-US" w:eastAsia="zh-CN"/>
        </w:rPr>
        <w:t>收集运输单位。</w:t>
      </w:r>
      <w:r>
        <w:rPr>
          <w:rFonts w:hint="default"/>
          <w:color w:val="auto"/>
          <w:lang w:val="en-US" w:eastAsia="zh-CN"/>
        </w:rPr>
        <w:t>建筑垃圾运输</w:t>
      </w:r>
      <w:r>
        <w:rPr>
          <w:rFonts w:hint="eastAsia"/>
          <w:color w:val="auto"/>
          <w:lang w:val="en-US" w:eastAsia="zh-CN"/>
        </w:rPr>
        <w:t>企业应当向属地建筑垃圾主管部门申请</w:t>
      </w:r>
      <w:r>
        <w:rPr>
          <w:rFonts w:hint="default"/>
          <w:color w:val="auto"/>
          <w:lang w:val="en-US" w:eastAsia="zh-CN"/>
        </w:rPr>
        <w:t>《</w:t>
      </w:r>
      <w:r>
        <w:rPr>
          <w:rFonts w:hint="eastAsia"/>
          <w:color w:val="auto"/>
          <w:lang w:val="en-US" w:eastAsia="zh-CN"/>
        </w:rPr>
        <w:t>建筑垃圾处置（运输）证</w:t>
      </w:r>
      <w:r>
        <w:rPr>
          <w:rFonts w:hint="default"/>
          <w:color w:val="auto"/>
          <w:lang w:val="en-US" w:eastAsia="zh-CN"/>
        </w:rPr>
        <w:t>》。建筑垃圾运输车辆驶出施工现场</w:t>
      </w:r>
      <w:r>
        <w:rPr>
          <w:rFonts w:hint="eastAsia"/>
          <w:color w:val="auto"/>
          <w:lang w:val="en-US" w:eastAsia="zh-CN"/>
        </w:rPr>
        <w:t>（</w:t>
      </w:r>
      <w:r>
        <w:rPr>
          <w:rFonts w:hint="default"/>
          <w:color w:val="auto"/>
          <w:lang w:val="en-US" w:eastAsia="zh-CN"/>
        </w:rPr>
        <w:t>转运场地、处置场地</w:t>
      </w:r>
      <w:r>
        <w:rPr>
          <w:rFonts w:hint="eastAsia"/>
          <w:color w:val="auto"/>
          <w:lang w:val="en-US" w:eastAsia="zh-CN"/>
        </w:rPr>
        <w:t>）</w:t>
      </w:r>
      <w:r>
        <w:rPr>
          <w:rFonts w:hint="default"/>
          <w:color w:val="auto"/>
          <w:lang w:val="en-US" w:eastAsia="zh-CN"/>
        </w:rPr>
        <w:t>前，进行车身、轮胎、底盘等部位的清洁冲洗和车辆密闭情况的检查。运输车辆应安装全密闭装置或密闭苫盖，车厢底部应采取防渗漏措施</w:t>
      </w:r>
      <w:r>
        <w:rPr>
          <w:rFonts w:hint="eastAsia"/>
          <w:color w:val="auto"/>
          <w:lang w:val="en-US" w:eastAsia="zh-CN"/>
        </w:rPr>
        <w:t>；</w:t>
      </w:r>
      <w:r>
        <w:rPr>
          <w:rFonts w:hint="default"/>
          <w:color w:val="auto"/>
          <w:lang w:val="en-US" w:eastAsia="zh-CN"/>
        </w:rPr>
        <w:t>运输过程中，车辆密闭装置密封良好</w:t>
      </w:r>
      <w:r>
        <w:rPr>
          <w:rFonts w:hint="eastAsia"/>
          <w:color w:val="auto"/>
          <w:lang w:val="en-US" w:eastAsia="zh-CN"/>
        </w:rPr>
        <w:t>；收运建筑垃圾时需</w:t>
      </w:r>
      <w:r>
        <w:rPr>
          <w:rFonts w:hint="default"/>
          <w:color w:val="auto"/>
          <w:lang w:val="en-US" w:eastAsia="zh-CN"/>
        </w:rPr>
        <w:t>在施工现场配备管理人员，配合建设单位或者施工单位履行职责，并做好</w:t>
      </w:r>
      <w:r>
        <w:rPr>
          <w:rFonts w:hint="eastAsia"/>
          <w:color w:val="auto"/>
          <w:lang w:val="en-US" w:eastAsia="zh-CN"/>
        </w:rPr>
        <w:t>电子平台</w:t>
      </w:r>
      <w:r>
        <w:rPr>
          <w:rFonts w:hint="default"/>
          <w:color w:val="auto"/>
          <w:lang w:val="en-US" w:eastAsia="zh-CN"/>
        </w:rPr>
        <w:t>记录</w:t>
      </w:r>
      <w:r>
        <w:rPr>
          <w:rFonts w:hint="eastAsia"/>
          <w:color w:val="auto"/>
          <w:lang w:val="en-US" w:eastAsia="zh-CN"/>
        </w:rPr>
        <w:t>。运输路线及时间应严格按照属地建筑垃圾主管部门及公安交警部门制定执行。</w:t>
      </w:r>
    </w:p>
    <w:p w14:paraId="1B6862F3">
      <w:pPr>
        <w:bidi w:val="0"/>
        <w:rPr>
          <w:rFonts w:hint="default"/>
          <w:color w:val="auto"/>
          <w:lang w:val="en-US" w:eastAsia="zh-CN"/>
        </w:rPr>
      </w:pPr>
      <w:r>
        <w:rPr>
          <w:rFonts w:hint="default"/>
          <w:b/>
          <w:bCs/>
          <w:color w:val="auto"/>
          <w:lang w:val="en-US" w:eastAsia="zh-CN"/>
        </w:rPr>
        <w:t>建筑垃圾处置单位。</w:t>
      </w:r>
      <w:r>
        <w:rPr>
          <w:rFonts w:hint="default"/>
          <w:color w:val="auto"/>
          <w:lang w:val="en-US" w:eastAsia="zh-CN"/>
        </w:rPr>
        <w:t>建筑垃圾处置单位应当</w:t>
      </w:r>
      <w:r>
        <w:rPr>
          <w:rFonts w:hint="eastAsia" w:ascii="Times New Roman" w:eastAsia="宋体"/>
          <w:color w:val="auto"/>
          <w:lang w:val="en-US" w:eastAsia="zh-CN"/>
        </w:rPr>
        <w:t>向属地建筑垃圾主管部门申请</w:t>
      </w:r>
      <w:r>
        <w:rPr>
          <w:rFonts w:hint="eastAsia"/>
          <w:color w:val="auto"/>
          <w:lang w:val="en-US" w:eastAsia="zh-CN"/>
        </w:rPr>
        <w:t>《建筑垃圾处置（处理）证》</w:t>
      </w:r>
      <w:r>
        <w:rPr>
          <w:rFonts w:hint="default"/>
          <w:color w:val="auto"/>
          <w:lang w:val="en-US" w:eastAsia="zh-CN"/>
        </w:rPr>
        <w:t>。未经许可不</w:t>
      </w:r>
      <w:r>
        <w:rPr>
          <w:rFonts w:hint="eastAsia"/>
          <w:color w:val="auto"/>
          <w:lang w:val="en-US" w:eastAsia="zh-CN"/>
        </w:rPr>
        <w:t>得</w:t>
      </w:r>
      <w:r>
        <w:rPr>
          <w:rFonts w:hint="default"/>
          <w:color w:val="auto"/>
          <w:lang w:val="en-US" w:eastAsia="zh-CN"/>
        </w:rPr>
        <w:t>擅自设置</w:t>
      </w:r>
      <w:r>
        <w:rPr>
          <w:rFonts w:hint="eastAsia"/>
          <w:color w:val="auto"/>
          <w:lang w:val="en-US" w:eastAsia="zh-CN"/>
        </w:rPr>
        <w:t>处置场所</w:t>
      </w:r>
      <w:r>
        <w:rPr>
          <w:rFonts w:hint="default"/>
          <w:color w:val="auto"/>
          <w:lang w:val="en-US" w:eastAsia="zh-CN"/>
        </w:rPr>
        <w:t>。建筑垃圾处置单位应当按照规定，实施场内道路硬化，设置清洗设施，配置管理人员和保洁人员，查验进场车辆的</w:t>
      </w:r>
      <w:r>
        <w:rPr>
          <w:rFonts w:hint="eastAsia"/>
          <w:color w:val="auto"/>
          <w:lang w:val="en-US" w:eastAsia="zh-CN"/>
        </w:rPr>
        <w:t>运输核准、</w:t>
      </w:r>
      <w:r>
        <w:rPr>
          <w:rFonts w:hint="default"/>
          <w:color w:val="auto"/>
          <w:lang w:val="en-US" w:eastAsia="zh-CN"/>
        </w:rPr>
        <w:t>准运证</w:t>
      </w:r>
      <w:r>
        <w:rPr>
          <w:rFonts w:hint="eastAsia"/>
          <w:color w:val="auto"/>
          <w:lang w:val="en-US" w:eastAsia="zh-CN"/>
        </w:rPr>
        <w:t>、行驶证等证件</w:t>
      </w:r>
      <w:r>
        <w:rPr>
          <w:rFonts w:hint="default"/>
          <w:color w:val="auto"/>
          <w:lang w:val="en-US" w:eastAsia="zh-CN"/>
        </w:rPr>
        <w:t>，建立日作业台账。不得受纳</w:t>
      </w:r>
      <w:r>
        <w:rPr>
          <w:rFonts w:hint="eastAsia"/>
          <w:color w:val="auto"/>
          <w:lang w:val="en-US" w:eastAsia="zh-CN"/>
        </w:rPr>
        <w:t>核准</w:t>
      </w:r>
      <w:r>
        <w:rPr>
          <w:rFonts w:hint="default"/>
          <w:color w:val="auto"/>
          <w:lang w:val="en-US" w:eastAsia="zh-CN"/>
        </w:rPr>
        <w:t>规定以外的建筑垃圾，不得允许无运输核准、准运证、行驶证的车辆进场卸载建筑垃圾。</w:t>
      </w:r>
    </w:p>
    <w:p w14:paraId="57266056">
      <w:pPr>
        <w:pStyle w:val="3"/>
        <w:bidi w:val="0"/>
        <w:rPr>
          <w:rFonts w:hint="eastAsia"/>
          <w:color w:val="auto"/>
          <w:lang w:val="en-US" w:eastAsia="zh-CN"/>
        </w:rPr>
      </w:pPr>
      <w:bookmarkStart w:id="66" w:name="_Toc20261"/>
      <w:r>
        <w:rPr>
          <w:rFonts w:hint="eastAsia"/>
          <w:color w:val="auto"/>
          <w:lang w:val="en-US" w:eastAsia="zh-CN"/>
        </w:rPr>
        <w:t>6.3 建筑垃圾分类收运</w:t>
      </w:r>
      <w:bookmarkEnd w:id="66"/>
    </w:p>
    <w:p w14:paraId="4CD4DD42">
      <w:pPr>
        <w:pStyle w:val="4"/>
        <w:bidi w:val="0"/>
        <w:rPr>
          <w:rFonts w:hint="eastAsia"/>
          <w:color w:val="auto"/>
          <w:lang w:val="en-US" w:eastAsia="zh-CN"/>
        </w:rPr>
      </w:pPr>
      <w:bookmarkStart w:id="67" w:name="_Toc14873"/>
      <w:r>
        <w:rPr>
          <w:rFonts w:hint="eastAsia"/>
          <w:color w:val="auto"/>
          <w:lang w:val="en-US" w:eastAsia="zh-CN"/>
        </w:rPr>
        <w:t>6.3.1 分类收集要求</w:t>
      </w:r>
      <w:bookmarkEnd w:id="67"/>
    </w:p>
    <w:p w14:paraId="0B2D0CF3">
      <w:pPr>
        <w:bidi w:val="0"/>
        <w:rPr>
          <w:rFonts w:hint="eastAsia"/>
          <w:color w:val="auto"/>
          <w:lang w:val="en-US" w:eastAsia="zh-CN"/>
        </w:rPr>
      </w:pPr>
      <w:r>
        <w:rPr>
          <w:rFonts w:hint="default"/>
          <w:b/>
          <w:bCs/>
          <w:color w:val="auto"/>
          <w:lang w:val="en-US" w:eastAsia="zh-CN"/>
        </w:rPr>
        <w:t>工程渣土。</w:t>
      </w:r>
      <w:r>
        <w:rPr>
          <w:rFonts w:hint="default"/>
          <w:color w:val="auto"/>
          <w:lang w:val="en-US" w:eastAsia="zh-CN"/>
        </w:rPr>
        <w:t>工程渣土应及时清理，需临时存放的工程渣土应在施工现场安全部位集中堆放，堆放高度不应超出围挡高度，并与围挡</w:t>
      </w:r>
      <w:r>
        <w:rPr>
          <w:rFonts w:hint="eastAsia"/>
          <w:color w:val="auto"/>
          <w:lang w:val="en-US" w:eastAsia="zh-CN"/>
        </w:rPr>
        <w:t>（</w:t>
      </w:r>
      <w:r>
        <w:rPr>
          <w:rFonts w:hint="default"/>
          <w:color w:val="auto"/>
          <w:lang w:val="en-US" w:eastAsia="zh-CN"/>
        </w:rPr>
        <w:t>墙</w:t>
      </w:r>
      <w:r>
        <w:rPr>
          <w:rFonts w:hint="eastAsia"/>
          <w:color w:val="auto"/>
          <w:lang w:val="en-US" w:eastAsia="zh-CN"/>
        </w:rPr>
        <w:t>）</w:t>
      </w:r>
      <w:r>
        <w:rPr>
          <w:rFonts w:hint="default"/>
          <w:color w:val="auto"/>
          <w:lang w:val="en-US" w:eastAsia="zh-CN"/>
        </w:rPr>
        <w:t>及基坑周边保持安全距离，与现有的建筑物或构筑物保持安全距离</w:t>
      </w:r>
      <w:r>
        <w:rPr>
          <w:rFonts w:hint="eastAsia"/>
          <w:color w:val="auto"/>
          <w:lang w:val="en-US" w:eastAsia="zh-CN"/>
        </w:rPr>
        <w:t>；</w:t>
      </w:r>
      <w:r>
        <w:rPr>
          <w:rFonts w:hint="default"/>
          <w:color w:val="auto"/>
          <w:lang w:val="en-US" w:eastAsia="zh-CN"/>
        </w:rPr>
        <w:t>当临时堆场场地附近有挖方工程时，应进行堆体和挖方边坡稳定性验算，保证挖方工程安全</w:t>
      </w:r>
      <w:r>
        <w:rPr>
          <w:rFonts w:hint="eastAsia"/>
          <w:color w:val="auto"/>
          <w:lang w:val="en-US" w:eastAsia="zh-CN"/>
        </w:rPr>
        <w:t>；</w:t>
      </w:r>
      <w:r>
        <w:rPr>
          <w:rFonts w:hint="default"/>
          <w:color w:val="auto"/>
          <w:lang w:val="en-US" w:eastAsia="zh-CN"/>
        </w:rPr>
        <w:t>表层耕植土宜单独收集存放，不宜和其他建筑垃圾混合堆放</w:t>
      </w:r>
      <w:r>
        <w:rPr>
          <w:rFonts w:hint="eastAsia"/>
          <w:color w:val="auto"/>
          <w:lang w:val="en-US" w:eastAsia="zh-CN"/>
        </w:rPr>
        <w:t>。</w:t>
      </w:r>
      <w:r>
        <w:rPr>
          <w:rFonts w:hint="default"/>
          <w:color w:val="auto"/>
          <w:lang w:val="en-US" w:eastAsia="zh-CN"/>
        </w:rPr>
        <w:t>可用作建筑原材料的粉砂</w:t>
      </w:r>
      <w:r>
        <w:rPr>
          <w:rFonts w:hint="eastAsia"/>
          <w:color w:val="auto"/>
          <w:lang w:val="en-US" w:eastAsia="zh-CN"/>
        </w:rPr>
        <w:t>（</w:t>
      </w:r>
      <w:r>
        <w:rPr>
          <w:rFonts w:hint="default"/>
          <w:color w:val="auto"/>
          <w:lang w:val="en-US" w:eastAsia="zh-CN"/>
        </w:rPr>
        <w:t>土</w:t>
      </w:r>
      <w:r>
        <w:rPr>
          <w:rFonts w:hint="eastAsia"/>
          <w:color w:val="auto"/>
          <w:lang w:val="en-US" w:eastAsia="zh-CN"/>
        </w:rPr>
        <w:t>）</w:t>
      </w:r>
      <w:r>
        <w:rPr>
          <w:rFonts w:hint="default"/>
          <w:color w:val="auto"/>
          <w:lang w:val="en-US" w:eastAsia="zh-CN"/>
        </w:rPr>
        <w:t>、砂土以及卵</w:t>
      </w:r>
      <w:r>
        <w:rPr>
          <w:rFonts w:hint="eastAsia"/>
          <w:color w:val="auto"/>
          <w:lang w:val="en-US" w:eastAsia="zh-CN"/>
        </w:rPr>
        <w:t>（</w:t>
      </w:r>
      <w:r>
        <w:rPr>
          <w:rFonts w:hint="default"/>
          <w:color w:val="auto"/>
          <w:lang w:val="en-US" w:eastAsia="zh-CN"/>
        </w:rPr>
        <w:t>砾</w:t>
      </w:r>
      <w:r>
        <w:rPr>
          <w:rFonts w:hint="eastAsia"/>
          <w:color w:val="auto"/>
          <w:lang w:val="en-US" w:eastAsia="zh-CN"/>
        </w:rPr>
        <w:t>）</w:t>
      </w:r>
      <w:r>
        <w:rPr>
          <w:rFonts w:hint="default"/>
          <w:color w:val="auto"/>
          <w:lang w:val="en-US" w:eastAsia="zh-CN"/>
        </w:rPr>
        <w:t>石、岩石等，宜分类收集</w:t>
      </w:r>
      <w:r>
        <w:rPr>
          <w:rFonts w:hint="eastAsia"/>
          <w:color w:val="auto"/>
          <w:lang w:val="en-US" w:eastAsia="zh-CN"/>
        </w:rPr>
        <w:t>。</w:t>
      </w:r>
    </w:p>
    <w:p w14:paraId="519E4BC6">
      <w:pPr>
        <w:bidi w:val="0"/>
        <w:rPr>
          <w:rFonts w:hint="default"/>
          <w:color w:val="auto"/>
          <w:lang w:val="en-US" w:eastAsia="zh-CN"/>
        </w:rPr>
      </w:pPr>
      <w:r>
        <w:rPr>
          <w:rFonts w:hint="default"/>
          <w:b/>
          <w:bCs/>
          <w:color w:val="auto"/>
          <w:lang w:val="en-US" w:eastAsia="zh-CN"/>
        </w:rPr>
        <w:t>工程泥浆。</w:t>
      </w:r>
      <w:r>
        <w:rPr>
          <w:rFonts w:hint="default"/>
          <w:color w:val="auto"/>
          <w:lang w:val="en-US" w:eastAsia="zh-CN"/>
        </w:rPr>
        <w:t>建设工程产生的废弃泥浆应通过工程现场设置的泥浆池收集，严禁</w:t>
      </w:r>
      <w:r>
        <w:rPr>
          <w:rFonts w:hint="eastAsia"/>
          <w:color w:val="auto"/>
          <w:lang w:val="en-US" w:eastAsia="zh-CN"/>
        </w:rPr>
        <w:t>未</w:t>
      </w:r>
      <w:r>
        <w:rPr>
          <w:rFonts w:hint="default"/>
          <w:color w:val="auto"/>
          <w:lang w:val="en-US" w:eastAsia="zh-CN"/>
        </w:rPr>
        <w:t>处置的泥浆就地或随意排放。规模较大的建设工程，泥浆宜预先固化处理。泥浆池应设置安全防护措施，并挂设安全警示牌</w:t>
      </w:r>
      <w:r>
        <w:rPr>
          <w:rFonts w:hint="eastAsia"/>
          <w:color w:val="auto"/>
          <w:lang w:val="en-US" w:eastAsia="zh-CN"/>
        </w:rPr>
        <w:t>。</w:t>
      </w:r>
    </w:p>
    <w:p w14:paraId="2B179ECE">
      <w:pPr>
        <w:bidi w:val="0"/>
        <w:rPr>
          <w:rFonts w:hint="default"/>
          <w:color w:val="auto"/>
          <w:lang w:val="en-US" w:eastAsia="zh-CN"/>
        </w:rPr>
      </w:pPr>
      <w:r>
        <w:rPr>
          <w:rFonts w:hint="default"/>
          <w:b/>
          <w:bCs/>
          <w:color w:val="auto"/>
          <w:lang w:val="en-US" w:eastAsia="zh-CN"/>
        </w:rPr>
        <w:t>工程垃圾。</w:t>
      </w:r>
      <w:r>
        <w:rPr>
          <w:rFonts w:hint="default"/>
          <w:color w:val="auto"/>
          <w:lang w:val="en-US" w:eastAsia="zh-CN"/>
        </w:rPr>
        <w:t>桩基工程的工程桩桩头、基坑工程的临时支撑可统一收集。现场破碎、分离混凝土和钢筋时，混凝土和钢筋应分类堆放</w:t>
      </w:r>
      <w:r>
        <w:rPr>
          <w:rFonts w:hint="eastAsia"/>
          <w:color w:val="auto"/>
          <w:lang w:val="en-US" w:eastAsia="zh-CN"/>
        </w:rPr>
        <w:t>；</w:t>
      </w:r>
      <w:r>
        <w:rPr>
          <w:rFonts w:hint="default"/>
          <w:color w:val="auto"/>
          <w:lang w:val="en-US" w:eastAsia="zh-CN"/>
        </w:rPr>
        <w:t>道路混凝土或沥青混合料应单独收集</w:t>
      </w:r>
      <w:r>
        <w:rPr>
          <w:rFonts w:hint="eastAsia"/>
          <w:color w:val="auto"/>
          <w:lang w:val="en-US" w:eastAsia="zh-CN"/>
        </w:rPr>
        <w:t>；</w:t>
      </w:r>
      <w:r>
        <w:rPr>
          <w:rFonts w:hint="default"/>
          <w:color w:val="auto"/>
          <w:lang w:val="en-US" w:eastAsia="zh-CN"/>
        </w:rPr>
        <w:t>其他工程垃圾不应与工程桩桩头、支撑或道路混凝土、沥青混合料混杂堆放。</w:t>
      </w:r>
    </w:p>
    <w:p w14:paraId="3A3A12B0">
      <w:pPr>
        <w:bidi w:val="0"/>
        <w:rPr>
          <w:rFonts w:hint="default"/>
          <w:color w:val="auto"/>
          <w:lang w:val="en-US" w:eastAsia="zh-CN"/>
        </w:rPr>
      </w:pPr>
      <w:r>
        <w:rPr>
          <w:rFonts w:hint="default"/>
          <w:b/>
          <w:bCs/>
          <w:color w:val="auto"/>
          <w:lang w:val="en-US" w:eastAsia="zh-CN"/>
        </w:rPr>
        <w:t>拆除垃圾。</w:t>
      </w:r>
      <w:r>
        <w:rPr>
          <w:rFonts w:hint="default"/>
          <w:color w:val="auto"/>
          <w:lang w:val="en-US" w:eastAsia="zh-CN"/>
        </w:rPr>
        <w:t>拆除垃圾宜按照砖瓦</w:t>
      </w:r>
      <w:r>
        <w:rPr>
          <w:rFonts w:hint="eastAsia"/>
          <w:color w:val="auto"/>
          <w:lang w:val="en-US" w:eastAsia="zh-CN"/>
        </w:rPr>
        <w:t>类、</w:t>
      </w:r>
      <w:r>
        <w:rPr>
          <w:rFonts w:hint="default"/>
          <w:color w:val="auto"/>
          <w:lang w:val="en-US" w:eastAsia="zh-CN"/>
        </w:rPr>
        <w:t>混凝土类、木材类、石膏类、金属类、其他类等分类收集、暂存。附建</w:t>
      </w:r>
      <w:r>
        <w:rPr>
          <w:rFonts w:hint="eastAsia"/>
          <w:color w:val="auto"/>
          <w:lang w:val="en-US" w:eastAsia="zh-CN"/>
        </w:rPr>
        <w:t>（</w:t>
      </w:r>
      <w:r>
        <w:rPr>
          <w:rFonts w:hint="default"/>
          <w:color w:val="auto"/>
          <w:lang w:val="en-US" w:eastAsia="zh-CN"/>
        </w:rPr>
        <w:t>构</w:t>
      </w:r>
      <w:r>
        <w:rPr>
          <w:rFonts w:hint="eastAsia"/>
          <w:color w:val="auto"/>
          <w:lang w:val="en-US" w:eastAsia="zh-CN"/>
        </w:rPr>
        <w:t>）</w:t>
      </w:r>
      <w:r>
        <w:rPr>
          <w:rFonts w:hint="default"/>
          <w:color w:val="auto"/>
          <w:lang w:val="en-US" w:eastAsia="zh-CN"/>
        </w:rPr>
        <w:t>筑物拆除前应清除、腾空内部可移动设施、设备、家具等物品</w:t>
      </w:r>
      <w:r>
        <w:rPr>
          <w:rFonts w:hint="eastAsia"/>
          <w:color w:val="auto"/>
          <w:lang w:val="en-US" w:eastAsia="zh-CN"/>
        </w:rPr>
        <w:t>；</w:t>
      </w:r>
      <w:r>
        <w:rPr>
          <w:rFonts w:hint="default"/>
          <w:color w:val="auto"/>
          <w:lang w:val="en-US" w:eastAsia="zh-CN"/>
        </w:rPr>
        <w:t>附属构件</w:t>
      </w:r>
      <w:r>
        <w:rPr>
          <w:rFonts w:hint="eastAsia"/>
          <w:color w:val="auto"/>
          <w:lang w:val="en-US" w:eastAsia="zh-CN"/>
        </w:rPr>
        <w:t>（</w:t>
      </w:r>
      <w:r>
        <w:rPr>
          <w:rFonts w:hint="default"/>
          <w:color w:val="auto"/>
          <w:lang w:val="en-US" w:eastAsia="zh-CN"/>
        </w:rPr>
        <w:t>门、窗等</w:t>
      </w:r>
      <w:r>
        <w:rPr>
          <w:rFonts w:hint="eastAsia"/>
          <w:color w:val="auto"/>
          <w:lang w:val="en-US" w:eastAsia="zh-CN"/>
        </w:rPr>
        <w:t>）</w:t>
      </w:r>
      <w:r>
        <w:rPr>
          <w:rFonts w:hint="default"/>
          <w:color w:val="auto"/>
          <w:lang w:val="en-US" w:eastAsia="zh-CN"/>
        </w:rPr>
        <w:t>可先于主体结构拆除，分类堆放</w:t>
      </w:r>
      <w:r>
        <w:rPr>
          <w:rFonts w:hint="eastAsia"/>
          <w:color w:val="auto"/>
          <w:lang w:val="en-US" w:eastAsia="zh-CN"/>
        </w:rPr>
        <w:t>；</w:t>
      </w:r>
      <w:r>
        <w:rPr>
          <w:rFonts w:hint="default"/>
          <w:color w:val="auto"/>
          <w:lang w:val="en-US" w:eastAsia="zh-CN"/>
        </w:rPr>
        <w:t>拆除的混凝土梁、柱、楼板构件或其他预制件可统一收集</w:t>
      </w:r>
      <w:r>
        <w:rPr>
          <w:rFonts w:hint="eastAsia"/>
          <w:color w:val="auto"/>
          <w:lang w:val="en-US" w:eastAsia="zh-CN"/>
        </w:rPr>
        <w:t>；</w:t>
      </w:r>
      <w:r>
        <w:rPr>
          <w:rFonts w:hint="default"/>
          <w:color w:val="auto"/>
          <w:lang w:val="en-US" w:eastAsia="zh-CN"/>
        </w:rPr>
        <w:t>砖瓦宜分类堆放。</w:t>
      </w:r>
    </w:p>
    <w:p w14:paraId="382F3C2C">
      <w:pPr>
        <w:bidi w:val="0"/>
        <w:rPr>
          <w:rFonts w:hint="default"/>
          <w:color w:val="auto"/>
          <w:lang w:val="en-US" w:eastAsia="zh-CN"/>
        </w:rPr>
      </w:pPr>
      <w:r>
        <w:rPr>
          <w:rFonts w:hint="default"/>
          <w:b/>
          <w:bCs/>
          <w:color w:val="auto"/>
          <w:lang w:val="en-US" w:eastAsia="zh-CN"/>
        </w:rPr>
        <w:t>装修垃圾。</w:t>
      </w:r>
      <w:r>
        <w:rPr>
          <w:rFonts w:hint="default"/>
          <w:color w:val="auto"/>
          <w:lang w:val="en-US" w:eastAsia="zh-CN"/>
        </w:rPr>
        <w:t>装修垃圾应袋装收集。无机装修废料</w:t>
      </w:r>
      <w:r>
        <w:rPr>
          <w:rFonts w:hint="eastAsia"/>
          <w:color w:val="auto"/>
          <w:lang w:val="en-US" w:eastAsia="zh-CN"/>
        </w:rPr>
        <w:t>（</w:t>
      </w:r>
      <w:r>
        <w:rPr>
          <w:rFonts w:hint="default"/>
          <w:color w:val="auto"/>
          <w:lang w:val="en-US" w:eastAsia="zh-CN"/>
        </w:rPr>
        <w:t>混凝土、砂浆、砖瓦、陶瓷等</w:t>
      </w:r>
      <w:r>
        <w:rPr>
          <w:rFonts w:hint="eastAsia"/>
          <w:color w:val="auto"/>
          <w:lang w:val="en-US" w:eastAsia="zh-CN"/>
        </w:rPr>
        <w:t>）</w:t>
      </w:r>
      <w:r>
        <w:rPr>
          <w:rFonts w:hint="default"/>
          <w:color w:val="auto"/>
          <w:lang w:val="en-US" w:eastAsia="zh-CN"/>
        </w:rPr>
        <w:t>不</w:t>
      </w:r>
      <w:r>
        <w:rPr>
          <w:rFonts w:hint="eastAsia"/>
          <w:color w:val="auto"/>
          <w:lang w:val="en-US" w:eastAsia="zh-CN"/>
        </w:rPr>
        <w:t>宜</w:t>
      </w:r>
      <w:r>
        <w:rPr>
          <w:rFonts w:hint="default"/>
          <w:color w:val="auto"/>
          <w:lang w:val="en-US" w:eastAsia="zh-CN"/>
        </w:rPr>
        <w:t>与有机杂物、金属等混杂</w:t>
      </w:r>
      <w:r>
        <w:rPr>
          <w:rFonts w:hint="eastAsia"/>
          <w:color w:val="auto"/>
          <w:lang w:val="en-US" w:eastAsia="zh-CN"/>
        </w:rPr>
        <w:t>；</w:t>
      </w:r>
      <w:r>
        <w:rPr>
          <w:rFonts w:hint="default"/>
          <w:color w:val="auto"/>
          <w:lang w:val="en-US" w:eastAsia="zh-CN"/>
        </w:rPr>
        <w:t>住宅小区应设置专门的装修垃圾指定投放点</w:t>
      </w:r>
      <w:r>
        <w:rPr>
          <w:rFonts w:hint="eastAsia"/>
          <w:color w:val="auto"/>
          <w:lang w:val="en-US" w:eastAsia="zh-CN"/>
        </w:rPr>
        <w:t>；</w:t>
      </w:r>
      <w:r>
        <w:rPr>
          <w:rFonts w:hint="default"/>
          <w:color w:val="auto"/>
          <w:lang w:val="en-US" w:eastAsia="zh-CN"/>
        </w:rPr>
        <w:t>非住宅装修工程，装修垃圾应分类、集中堆放</w:t>
      </w:r>
      <w:r>
        <w:rPr>
          <w:rFonts w:hint="eastAsia"/>
          <w:color w:val="auto"/>
          <w:lang w:val="en-US" w:eastAsia="zh-CN"/>
        </w:rPr>
        <w:t>；</w:t>
      </w:r>
      <w:r>
        <w:rPr>
          <w:rFonts w:hint="default"/>
          <w:color w:val="auto"/>
          <w:lang w:val="en-US" w:eastAsia="zh-CN"/>
        </w:rPr>
        <w:t>设置标识标牌、围挡、遮雨棚、灭火设备，宜设置视频监控设备</w:t>
      </w:r>
      <w:r>
        <w:rPr>
          <w:rFonts w:hint="eastAsia"/>
          <w:color w:val="auto"/>
          <w:lang w:val="en-US" w:eastAsia="zh-CN"/>
        </w:rPr>
        <w:t>。</w:t>
      </w:r>
    </w:p>
    <w:p w14:paraId="0D66FF23">
      <w:pPr>
        <w:pStyle w:val="4"/>
        <w:bidi w:val="0"/>
        <w:rPr>
          <w:rFonts w:hint="default"/>
          <w:color w:val="auto"/>
          <w:lang w:val="en-US" w:eastAsia="zh-CN"/>
        </w:rPr>
      </w:pPr>
      <w:bookmarkStart w:id="68" w:name="_Toc21316"/>
      <w:r>
        <w:rPr>
          <w:rFonts w:hint="eastAsia"/>
          <w:color w:val="auto"/>
          <w:lang w:val="en-US" w:eastAsia="zh-CN"/>
        </w:rPr>
        <w:t>6.3.2 运输要求</w:t>
      </w:r>
      <w:bookmarkEnd w:id="68"/>
    </w:p>
    <w:p w14:paraId="48AE17FA">
      <w:pPr>
        <w:bidi w:val="0"/>
        <w:rPr>
          <w:rFonts w:hint="eastAsia"/>
          <w:color w:val="auto"/>
          <w:lang w:val="en-US" w:eastAsia="zh-CN"/>
        </w:rPr>
      </w:pPr>
      <w:r>
        <w:rPr>
          <w:rFonts w:hint="eastAsia"/>
          <w:color w:val="auto"/>
          <w:lang w:val="en-US" w:eastAsia="zh-CN"/>
        </w:rPr>
        <w:t>（1）</w:t>
      </w:r>
      <w:r>
        <w:rPr>
          <w:rFonts w:hint="default"/>
          <w:color w:val="auto"/>
          <w:lang w:val="en-US" w:eastAsia="zh-CN"/>
        </w:rPr>
        <w:t>运输车辆须保持整洁、密闭装载，不得沿途泄漏、遗撒，不得超载运输，禁止车轮、车厢外侧带泥行驶</w:t>
      </w:r>
      <w:r>
        <w:rPr>
          <w:rFonts w:hint="eastAsia"/>
          <w:color w:val="auto"/>
          <w:lang w:val="en-US" w:eastAsia="zh-CN"/>
        </w:rPr>
        <w:t>；</w:t>
      </w:r>
    </w:p>
    <w:p w14:paraId="07DC4357">
      <w:pPr>
        <w:bidi w:val="0"/>
        <w:rPr>
          <w:rFonts w:hint="eastAsia"/>
          <w:color w:val="auto"/>
          <w:lang w:val="en-US" w:eastAsia="zh-CN"/>
        </w:rPr>
      </w:pPr>
      <w:r>
        <w:rPr>
          <w:rFonts w:hint="eastAsia"/>
          <w:color w:val="auto"/>
          <w:lang w:val="en-US" w:eastAsia="zh-CN"/>
        </w:rPr>
        <w:t>（2）</w:t>
      </w:r>
      <w:r>
        <w:rPr>
          <w:rFonts w:hint="default"/>
          <w:color w:val="auto"/>
          <w:lang w:val="en-US" w:eastAsia="zh-CN"/>
        </w:rPr>
        <w:t>上路行驶的建筑垃圾运输车辆必须遵守道路交通法律法规</w:t>
      </w:r>
      <w:r>
        <w:rPr>
          <w:rFonts w:hint="eastAsia"/>
          <w:color w:val="auto"/>
          <w:lang w:val="en-US" w:eastAsia="zh-CN"/>
        </w:rPr>
        <w:t>；</w:t>
      </w:r>
    </w:p>
    <w:p w14:paraId="77BD9087">
      <w:pPr>
        <w:bidi w:val="0"/>
        <w:rPr>
          <w:rFonts w:hint="eastAsia"/>
          <w:color w:val="auto"/>
          <w:lang w:val="en-US" w:eastAsia="zh-CN"/>
        </w:rPr>
      </w:pPr>
      <w:r>
        <w:rPr>
          <w:rFonts w:hint="eastAsia"/>
          <w:color w:val="auto"/>
          <w:lang w:val="en-US" w:eastAsia="zh-CN"/>
        </w:rPr>
        <w:t>（3）</w:t>
      </w:r>
      <w:r>
        <w:rPr>
          <w:rFonts w:hint="default"/>
          <w:color w:val="auto"/>
          <w:lang w:val="en-US" w:eastAsia="zh-CN"/>
        </w:rPr>
        <w:t>随车携带城市建筑垃圾转运证件，承运经批准排放的建筑垃圾</w:t>
      </w:r>
      <w:r>
        <w:rPr>
          <w:rFonts w:hint="eastAsia"/>
          <w:color w:val="auto"/>
          <w:lang w:val="en-US" w:eastAsia="zh-CN"/>
        </w:rPr>
        <w:t>；</w:t>
      </w:r>
    </w:p>
    <w:p w14:paraId="5B2C917A">
      <w:pPr>
        <w:bidi w:val="0"/>
        <w:rPr>
          <w:rFonts w:hint="eastAsia"/>
          <w:color w:val="auto"/>
          <w:lang w:val="en-US" w:eastAsia="zh-CN"/>
        </w:rPr>
      </w:pPr>
      <w:r>
        <w:rPr>
          <w:rFonts w:hint="eastAsia"/>
          <w:color w:val="auto"/>
          <w:lang w:val="en-US" w:eastAsia="zh-CN"/>
        </w:rPr>
        <w:t>（4）</w:t>
      </w:r>
      <w:r>
        <w:rPr>
          <w:rFonts w:hint="default"/>
          <w:color w:val="auto"/>
          <w:lang w:val="en-US" w:eastAsia="zh-CN"/>
        </w:rPr>
        <w:t>车辆</w:t>
      </w:r>
      <w:r>
        <w:rPr>
          <w:rFonts w:hint="eastAsia"/>
          <w:color w:val="auto"/>
          <w:lang w:val="en-US" w:eastAsia="zh-CN"/>
        </w:rPr>
        <w:t>按</w:t>
      </w:r>
      <w:r>
        <w:rPr>
          <w:rFonts w:hint="eastAsia"/>
          <w:color w:val="auto"/>
          <w:highlight w:val="none"/>
          <w:lang w:val="en-US" w:eastAsia="zh-CN"/>
        </w:rPr>
        <w:t>公安交警部门</w:t>
      </w:r>
      <w:r>
        <w:rPr>
          <w:rFonts w:hint="default"/>
          <w:color w:val="auto"/>
          <w:lang w:val="en-US" w:eastAsia="zh-CN"/>
        </w:rPr>
        <w:t>核准的时间、路线行驶，未经批准，严禁在其他时间、路线运输建筑垃圾</w:t>
      </w:r>
      <w:r>
        <w:rPr>
          <w:rFonts w:hint="eastAsia"/>
          <w:color w:val="auto"/>
          <w:lang w:val="en-US" w:eastAsia="zh-CN"/>
        </w:rPr>
        <w:t>；</w:t>
      </w:r>
    </w:p>
    <w:p w14:paraId="3A646831">
      <w:pPr>
        <w:bidi w:val="0"/>
        <w:rPr>
          <w:rFonts w:hint="eastAsia"/>
          <w:color w:val="auto"/>
          <w:lang w:val="en-US" w:eastAsia="zh-CN"/>
        </w:rPr>
      </w:pPr>
      <w:r>
        <w:rPr>
          <w:rFonts w:hint="eastAsia"/>
          <w:color w:val="auto"/>
          <w:lang w:val="en-US" w:eastAsia="zh-CN"/>
        </w:rPr>
        <w:t>（5）</w:t>
      </w:r>
      <w:r>
        <w:rPr>
          <w:rFonts w:hint="default"/>
          <w:color w:val="auto"/>
          <w:lang w:val="en-US" w:eastAsia="zh-CN"/>
        </w:rPr>
        <w:t>根据建筑垃圾不同分类运输至指定处理场地</w:t>
      </w:r>
      <w:r>
        <w:rPr>
          <w:rFonts w:hint="eastAsia"/>
          <w:color w:val="auto"/>
          <w:lang w:val="en-US" w:eastAsia="zh-CN"/>
        </w:rPr>
        <w:t>；</w:t>
      </w:r>
    </w:p>
    <w:p w14:paraId="466DE374">
      <w:pPr>
        <w:bidi w:val="0"/>
        <w:rPr>
          <w:rFonts w:hint="eastAsia"/>
          <w:color w:val="auto"/>
          <w:lang w:val="en-US" w:eastAsia="zh-CN"/>
        </w:rPr>
      </w:pPr>
      <w:r>
        <w:rPr>
          <w:rFonts w:hint="eastAsia"/>
          <w:color w:val="auto"/>
          <w:lang w:val="en-US" w:eastAsia="zh-CN"/>
        </w:rPr>
        <w:t>（6）</w:t>
      </w:r>
      <w:r>
        <w:rPr>
          <w:rFonts w:hint="default"/>
          <w:color w:val="auto"/>
          <w:lang w:val="en-US" w:eastAsia="zh-CN"/>
        </w:rPr>
        <w:t>建筑垃圾应当运输至经登记的消纳场所或综合利用场地，严禁运输过程中随意倾倒、抛撒或者堆放</w:t>
      </w:r>
      <w:r>
        <w:rPr>
          <w:rFonts w:hint="eastAsia"/>
          <w:color w:val="auto"/>
          <w:lang w:val="en-US" w:eastAsia="zh-CN"/>
        </w:rPr>
        <w:t>；</w:t>
      </w:r>
    </w:p>
    <w:p w14:paraId="3F5ED774">
      <w:pPr>
        <w:bidi w:val="0"/>
        <w:rPr>
          <w:rFonts w:hint="eastAsia"/>
          <w:color w:val="auto"/>
          <w:lang w:val="en-US" w:eastAsia="zh-CN"/>
        </w:rPr>
      </w:pPr>
      <w:r>
        <w:rPr>
          <w:rFonts w:hint="eastAsia"/>
          <w:color w:val="auto"/>
          <w:lang w:val="en-US" w:eastAsia="zh-CN"/>
        </w:rPr>
        <w:t>（7）</w:t>
      </w:r>
      <w:r>
        <w:rPr>
          <w:rFonts w:hint="default"/>
          <w:color w:val="auto"/>
          <w:lang w:val="en-US" w:eastAsia="zh-CN"/>
        </w:rPr>
        <w:t>建筑垃圾清运单位应在清运时间内，自行或采取其他方式做好车辆沿途线路的污染清理、保洁工作</w:t>
      </w:r>
      <w:r>
        <w:rPr>
          <w:rFonts w:hint="eastAsia"/>
          <w:color w:val="auto"/>
          <w:lang w:val="en-US" w:eastAsia="zh-CN"/>
        </w:rPr>
        <w:t>；</w:t>
      </w:r>
    </w:p>
    <w:p w14:paraId="20DCCD0A">
      <w:pPr>
        <w:bidi w:val="0"/>
        <w:rPr>
          <w:rFonts w:hint="default"/>
          <w:color w:val="auto"/>
          <w:lang w:val="en-US" w:eastAsia="zh-CN"/>
        </w:rPr>
      </w:pPr>
      <w:r>
        <w:rPr>
          <w:rFonts w:hint="eastAsia"/>
          <w:color w:val="auto"/>
          <w:lang w:val="en-US" w:eastAsia="zh-CN"/>
        </w:rPr>
        <w:t>（8）</w:t>
      </w:r>
      <w:r>
        <w:rPr>
          <w:rFonts w:hint="default"/>
          <w:color w:val="auto"/>
          <w:lang w:val="en-US" w:eastAsia="zh-CN"/>
        </w:rPr>
        <w:t>建立</w:t>
      </w:r>
      <w:r>
        <w:rPr>
          <w:rFonts w:hint="eastAsia"/>
          <w:color w:val="auto"/>
          <w:lang w:val="en-US" w:eastAsia="zh-CN"/>
        </w:rPr>
        <w:t>电子</w:t>
      </w:r>
      <w:r>
        <w:rPr>
          <w:rFonts w:hint="default"/>
          <w:color w:val="auto"/>
          <w:lang w:val="en-US" w:eastAsia="zh-CN"/>
        </w:rPr>
        <w:t>联单制度，记录完整的多单会签信息并存档。</w:t>
      </w:r>
    </w:p>
    <w:p w14:paraId="6E3FEE62">
      <w:pPr>
        <w:pStyle w:val="3"/>
        <w:bidi w:val="0"/>
        <w:rPr>
          <w:rFonts w:hint="eastAsia"/>
          <w:color w:val="auto"/>
          <w:lang w:val="en-US" w:eastAsia="zh-CN"/>
        </w:rPr>
      </w:pPr>
      <w:bookmarkStart w:id="69" w:name="_Toc32610"/>
      <w:r>
        <w:rPr>
          <w:rFonts w:hint="eastAsia"/>
          <w:color w:val="auto"/>
          <w:lang w:val="en-US" w:eastAsia="zh-CN"/>
        </w:rPr>
        <w:t>6.4 建筑垃圾收运设施设备</w:t>
      </w:r>
      <w:bookmarkEnd w:id="69"/>
    </w:p>
    <w:p w14:paraId="521ECAB3">
      <w:pPr>
        <w:pStyle w:val="4"/>
        <w:bidi w:val="0"/>
        <w:rPr>
          <w:rFonts w:hint="eastAsia"/>
          <w:color w:val="auto"/>
          <w:lang w:val="en-US" w:eastAsia="zh-CN"/>
        </w:rPr>
      </w:pPr>
      <w:bookmarkStart w:id="70" w:name="_Toc17179"/>
      <w:r>
        <w:rPr>
          <w:rFonts w:hint="eastAsia"/>
          <w:color w:val="auto"/>
          <w:lang w:val="en-US" w:eastAsia="zh-CN"/>
        </w:rPr>
        <w:t>6.4.1 装修垃圾指定投放点</w:t>
      </w:r>
      <w:bookmarkEnd w:id="70"/>
    </w:p>
    <w:p w14:paraId="1D0C53EC">
      <w:pPr>
        <w:bidi w:val="0"/>
        <w:rPr>
          <w:rFonts w:hint="default"/>
          <w:color w:val="auto"/>
          <w:lang w:val="en-US" w:eastAsia="zh-CN"/>
        </w:rPr>
      </w:pPr>
      <w:r>
        <w:rPr>
          <w:rFonts w:hint="default"/>
          <w:color w:val="auto"/>
          <w:lang w:val="en-US" w:eastAsia="zh-CN"/>
        </w:rPr>
        <w:t>装修垃圾指定投放点为装修垃圾的前端收集设施，用于居民在建造、装饰、维修和拆除房屋过程中产生的建筑垃圾的集中收集和临时堆放，从而有利于装修垃圾集中运往建筑垃圾转运调配场、资源化中心或填埋场。</w:t>
      </w:r>
    </w:p>
    <w:p w14:paraId="59C0353C">
      <w:pPr>
        <w:bidi w:val="0"/>
        <w:rPr>
          <w:rFonts w:hint="default"/>
          <w:color w:val="auto"/>
          <w:lang w:val="en-US" w:eastAsia="zh-CN"/>
        </w:rPr>
      </w:pPr>
      <w:r>
        <w:rPr>
          <w:rFonts w:hint="eastAsia"/>
          <w:color w:val="auto"/>
          <w:lang w:val="en-US" w:eastAsia="zh-CN"/>
        </w:rPr>
        <w:t>装修垃圾指定投放点各物业及属地街道办事处可采用两种形式，第一种形式为装修垃圾堆放房或堆放区，第二种形式为装修垃圾移动收集箱。</w:t>
      </w:r>
    </w:p>
    <w:p w14:paraId="55540E86">
      <w:pPr>
        <w:bidi w:val="0"/>
        <w:rPr>
          <w:rFonts w:hint="default"/>
          <w:b w:val="0"/>
          <w:bCs w:val="0"/>
          <w:color w:val="auto"/>
          <w:lang w:val="en-US" w:eastAsia="zh-CN"/>
        </w:rPr>
      </w:pPr>
      <w:r>
        <w:rPr>
          <w:rFonts w:hint="eastAsia"/>
          <w:b w:val="0"/>
          <w:bCs w:val="0"/>
          <w:color w:val="auto"/>
          <w:lang w:val="en-US" w:eastAsia="zh-CN"/>
        </w:rPr>
        <w:t>（1）</w:t>
      </w:r>
      <w:r>
        <w:rPr>
          <w:rFonts w:hint="default"/>
          <w:b w:val="0"/>
          <w:bCs w:val="0"/>
          <w:color w:val="auto"/>
          <w:lang w:val="en-US" w:eastAsia="zh-CN"/>
        </w:rPr>
        <w:t>布置原则</w:t>
      </w:r>
    </w:p>
    <w:p w14:paraId="5879D293">
      <w:pPr>
        <w:bidi w:val="0"/>
        <w:rPr>
          <w:rFonts w:hint="default"/>
          <w:b w:val="0"/>
          <w:bCs w:val="0"/>
          <w:color w:val="auto"/>
          <w:lang w:val="en-US" w:eastAsia="zh-CN"/>
        </w:rPr>
      </w:pPr>
      <w:r>
        <w:rPr>
          <w:rFonts w:hint="default"/>
          <w:b w:val="0"/>
          <w:bCs w:val="0"/>
          <w:color w:val="auto"/>
          <w:lang w:val="en-US" w:eastAsia="zh-CN"/>
        </w:rPr>
        <w:t>按照</w:t>
      </w:r>
      <w:r>
        <w:rPr>
          <w:rFonts w:hint="eastAsia"/>
          <w:b w:val="0"/>
          <w:bCs w:val="0"/>
          <w:color w:val="auto"/>
          <w:lang w:val="en-US" w:eastAsia="zh-CN"/>
        </w:rPr>
        <w:t>“</w:t>
      </w:r>
      <w:r>
        <w:rPr>
          <w:rFonts w:hint="default"/>
          <w:b w:val="0"/>
          <w:bCs w:val="0"/>
          <w:color w:val="auto"/>
          <w:lang w:val="en-US" w:eastAsia="zh-CN"/>
        </w:rPr>
        <w:t>交通便利，堆放安全、收运有效</w:t>
      </w:r>
      <w:r>
        <w:rPr>
          <w:rFonts w:hint="eastAsia"/>
          <w:b w:val="0"/>
          <w:bCs w:val="0"/>
          <w:color w:val="auto"/>
          <w:lang w:val="en-US" w:eastAsia="zh-CN"/>
        </w:rPr>
        <w:t>”</w:t>
      </w:r>
      <w:r>
        <w:rPr>
          <w:rFonts w:hint="default"/>
          <w:b w:val="0"/>
          <w:bCs w:val="0"/>
          <w:color w:val="auto"/>
          <w:lang w:val="en-US" w:eastAsia="zh-CN"/>
        </w:rPr>
        <w:t>的原则，合理布局装修垃圾投放点。</w:t>
      </w:r>
    </w:p>
    <w:p w14:paraId="28F7B557">
      <w:pPr>
        <w:bidi w:val="0"/>
        <w:rPr>
          <w:rFonts w:hint="default"/>
          <w:b w:val="0"/>
          <w:bCs w:val="0"/>
          <w:color w:val="auto"/>
          <w:lang w:val="en-US" w:eastAsia="zh-CN"/>
        </w:rPr>
      </w:pPr>
      <w:r>
        <w:rPr>
          <w:rFonts w:hint="eastAsia"/>
          <w:b w:val="0"/>
          <w:bCs w:val="0"/>
          <w:color w:val="auto"/>
          <w:lang w:val="en-US" w:eastAsia="zh-CN"/>
        </w:rPr>
        <w:t>（2）</w:t>
      </w:r>
      <w:r>
        <w:rPr>
          <w:rFonts w:hint="default"/>
          <w:b w:val="0"/>
          <w:bCs w:val="0"/>
          <w:color w:val="auto"/>
          <w:lang w:val="en-US" w:eastAsia="zh-CN"/>
        </w:rPr>
        <w:t>用地面积与规模类型</w:t>
      </w:r>
    </w:p>
    <w:p w14:paraId="093541C4">
      <w:pPr>
        <w:bidi w:val="0"/>
        <w:rPr>
          <w:rFonts w:hint="default"/>
          <w:b w:val="0"/>
          <w:bCs w:val="0"/>
          <w:color w:val="auto"/>
          <w:lang w:val="en-US" w:eastAsia="zh-CN"/>
        </w:rPr>
      </w:pPr>
      <w:r>
        <w:rPr>
          <w:rFonts w:hint="default"/>
          <w:b w:val="0"/>
          <w:bCs w:val="0"/>
          <w:color w:val="auto"/>
          <w:lang w:val="en-US" w:eastAsia="zh-CN"/>
        </w:rPr>
        <w:t>装修垃圾指定投放点用地根据居民户数、居住区物业等情况制定。新建居住小区原则上应设置装修垃圾堆放房或堆放区，可结合居住区内的生活垃圾收集点联合设置</w:t>
      </w:r>
      <w:r>
        <w:rPr>
          <w:rFonts w:hint="eastAsia"/>
          <w:b w:val="0"/>
          <w:bCs w:val="0"/>
          <w:color w:val="auto"/>
          <w:lang w:val="en-US" w:eastAsia="zh-CN"/>
        </w:rPr>
        <w:t>。</w:t>
      </w:r>
      <w:r>
        <w:rPr>
          <w:rFonts w:hint="default"/>
          <w:b w:val="0"/>
          <w:bCs w:val="0"/>
          <w:color w:val="auto"/>
          <w:lang w:val="en-US" w:eastAsia="zh-CN"/>
        </w:rPr>
        <w:t>公用区域装修的垃圾投放点可在工地临时设置。不具备设置指定投放点的装修垃圾，</w:t>
      </w:r>
      <w:r>
        <w:rPr>
          <w:rFonts w:hint="eastAsia"/>
          <w:b w:val="0"/>
          <w:bCs w:val="0"/>
          <w:color w:val="auto"/>
          <w:lang w:val="en-US" w:eastAsia="zh-CN"/>
        </w:rPr>
        <w:t>可采用</w:t>
      </w:r>
      <w:r>
        <w:rPr>
          <w:rFonts w:hint="default"/>
          <w:b w:val="0"/>
          <w:bCs w:val="0"/>
          <w:color w:val="auto"/>
          <w:lang w:val="en-US" w:eastAsia="zh-CN"/>
        </w:rPr>
        <w:t>装修垃圾移动收集箱</w:t>
      </w:r>
      <w:r>
        <w:rPr>
          <w:rFonts w:hint="eastAsia"/>
          <w:b w:val="0"/>
          <w:bCs w:val="0"/>
          <w:color w:val="auto"/>
          <w:lang w:val="en-US" w:eastAsia="zh-CN"/>
        </w:rPr>
        <w:t>，装满后可由勾臂车运往建筑垃圾转运站或资源化利用设施。应在投放点醒目位置设置管理公示牌，公示信息包括管护单位、责任人、开放及清运时间、收费标准、监督举报电话等内容。</w:t>
      </w:r>
    </w:p>
    <w:p w14:paraId="32AE7510">
      <w:pPr>
        <w:bidi w:val="0"/>
        <w:rPr>
          <w:rFonts w:hint="default"/>
          <w:b w:val="0"/>
          <w:bCs w:val="0"/>
          <w:color w:val="auto"/>
          <w:lang w:val="en-US" w:eastAsia="zh-CN"/>
        </w:rPr>
      </w:pPr>
      <w:r>
        <w:rPr>
          <w:rFonts w:hint="eastAsia"/>
          <w:b w:val="0"/>
          <w:bCs w:val="0"/>
          <w:color w:val="auto"/>
          <w:lang w:val="en-US" w:eastAsia="zh-CN"/>
        </w:rPr>
        <w:t>（3）</w:t>
      </w:r>
      <w:r>
        <w:rPr>
          <w:rFonts w:hint="default"/>
          <w:b w:val="0"/>
          <w:bCs w:val="0"/>
          <w:color w:val="auto"/>
          <w:lang w:val="en-US" w:eastAsia="zh-CN"/>
        </w:rPr>
        <w:t>建设标准</w:t>
      </w:r>
    </w:p>
    <w:p w14:paraId="3AACBBC7">
      <w:pPr>
        <w:bidi w:val="0"/>
        <w:rPr>
          <w:rFonts w:hint="eastAsia"/>
          <w:b w:val="0"/>
          <w:bCs w:val="0"/>
          <w:color w:val="auto"/>
          <w:lang w:val="en-US" w:eastAsia="zh-CN"/>
        </w:rPr>
      </w:pPr>
      <w:r>
        <w:rPr>
          <w:rFonts w:hint="default"/>
          <w:b w:val="0"/>
          <w:bCs w:val="0"/>
          <w:color w:val="auto"/>
          <w:lang w:val="en-US" w:eastAsia="zh-CN"/>
        </w:rPr>
        <w:t>装修垃圾堆放区</w:t>
      </w:r>
      <w:r>
        <w:rPr>
          <w:rFonts w:hint="eastAsia"/>
          <w:b w:val="0"/>
          <w:bCs w:val="0"/>
          <w:color w:val="auto"/>
          <w:lang w:val="en-US" w:eastAsia="zh-CN"/>
        </w:rPr>
        <w:t>应</w:t>
      </w:r>
      <w:r>
        <w:rPr>
          <w:rFonts w:hint="default"/>
          <w:b w:val="0"/>
          <w:bCs w:val="0"/>
          <w:color w:val="auto"/>
          <w:lang w:val="en-US" w:eastAsia="zh-CN"/>
        </w:rPr>
        <w:t>设置连续性实体围挡，围挡高度不低于2米，出入口处设置统一标识牌。堆放区地坪标高应高于周围地坪标高不小于15厘米。居住区在规划建设时同步配套装修垃圾</w:t>
      </w:r>
      <w:r>
        <w:rPr>
          <w:rFonts w:hint="eastAsia"/>
          <w:b w:val="0"/>
          <w:bCs w:val="0"/>
          <w:color w:val="auto"/>
          <w:lang w:val="en-US" w:eastAsia="zh-CN"/>
        </w:rPr>
        <w:t>投放点位</w:t>
      </w:r>
      <w:r>
        <w:rPr>
          <w:rFonts w:hint="default"/>
          <w:b w:val="0"/>
          <w:bCs w:val="0"/>
          <w:color w:val="auto"/>
          <w:lang w:val="en-US" w:eastAsia="zh-CN"/>
        </w:rPr>
        <w:t>，与建筑主体完成后一并投入使用，环卫主管部门参与验收</w:t>
      </w:r>
      <w:r>
        <w:rPr>
          <w:rFonts w:hint="eastAsia"/>
          <w:b w:val="0"/>
          <w:bCs w:val="0"/>
          <w:color w:val="auto"/>
          <w:lang w:val="en-US" w:eastAsia="zh-CN"/>
        </w:rPr>
        <w:t>；</w:t>
      </w:r>
      <w:r>
        <w:rPr>
          <w:rFonts w:hint="default"/>
          <w:b w:val="0"/>
          <w:bCs w:val="0"/>
          <w:color w:val="auto"/>
          <w:lang w:val="en-US" w:eastAsia="zh-CN"/>
        </w:rPr>
        <w:t>场地平整并硬化，配置上下水设施</w:t>
      </w:r>
      <w:r>
        <w:rPr>
          <w:rFonts w:hint="eastAsia"/>
          <w:b w:val="0"/>
          <w:bCs w:val="0"/>
          <w:color w:val="auto"/>
          <w:lang w:val="en-US" w:eastAsia="zh-CN"/>
        </w:rPr>
        <w:t>。</w:t>
      </w:r>
    </w:p>
    <w:p w14:paraId="4680FAC3">
      <w:pPr>
        <w:bidi w:val="0"/>
        <w:rPr>
          <w:rFonts w:hint="default"/>
          <w:color w:val="auto"/>
          <w:lang w:val="en-US" w:eastAsia="zh-CN"/>
        </w:rPr>
      </w:pPr>
      <w:r>
        <w:rPr>
          <w:rFonts w:hint="eastAsia"/>
          <w:color w:val="auto"/>
          <w:lang w:val="en-US" w:eastAsia="zh-CN"/>
        </w:rPr>
        <w:t>装修垃圾移动收集箱按照小区平面布置、居民行动轨迹，以方便居民投放为原则进行布置，同时规定投放时间，张贴“定时定点投放”公示牌、设置投放指引牌等，扩大宣传覆盖面，提升居民垃圾分类意识。物业或属地街道办事处应及时与运输单位签订合同，明确具体地址、使用时间、垃圾投放量等具体要求后提交到平台，由装修垃圾产生人支付相应的费用，后台产生工单，运输公司及时联系确认并安排清运人员上门。</w:t>
      </w:r>
    </w:p>
    <w:p w14:paraId="1A1399F2">
      <w:pPr>
        <w:bidi w:val="0"/>
        <w:rPr>
          <w:rFonts w:hint="default"/>
          <w:b w:val="0"/>
          <w:bCs w:val="0"/>
          <w:color w:val="auto"/>
          <w:lang w:val="en-US" w:eastAsia="zh-CN"/>
        </w:rPr>
      </w:pPr>
      <w:r>
        <w:rPr>
          <w:rFonts w:hint="eastAsia"/>
          <w:b w:val="0"/>
          <w:bCs w:val="0"/>
          <w:color w:val="auto"/>
          <w:lang w:val="en-US" w:eastAsia="zh-CN"/>
        </w:rPr>
        <w:t>（4）</w:t>
      </w:r>
      <w:r>
        <w:rPr>
          <w:rFonts w:hint="default"/>
          <w:b w:val="0"/>
          <w:bCs w:val="0"/>
          <w:color w:val="auto"/>
          <w:lang w:val="en-US" w:eastAsia="zh-CN"/>
        </w:rPr>
        <w:t>环境保护</w:t>
      </w:r>
    </w:p>
    <w:p w14:paraId="26860809">
      <w:pPr>
        <w:bidi w:val="0"/>
        <w:rPr>
          <w:rFonts w:hint="default"/>
          <w:color w:val="auto"/>
          <w:lang w:val="en-US" w:eastAsia="zh-CN"/>
        </w:rPr>
      </w:pPr>
      <w:r>
        <w:rPr>
          <w:rFonts w:hint="default"/>
          <w:color w:val="auto"/>
          <w:lang w:val="en-US" w:eastAsia="zh-CN"/>
        </w:rPr>
        <w:t>严禁将生活垃圾、工业固废、危险废物等混入装修垃圾。不定期进行场内路面</w:t>
      </w:r>
      <w:r>
        <w:rPr>
          <w:rFonts w:hint="eastAsia"/>
          <w:color w:val="auto"/>
          <w:lang w:val="en-US" w:eastAsia="zh-CN"/>
        </w:rPr>
        <w:t>洒水</w:t>
      </w:r>
      <w:r>
        <w:rPr>
          <w:rFonts w:hint="default"/>
          <w:color w:val="auto"/>
          <w:lang w:val="en-US" w:eastAsia="zh-CN"/>
        </w:rPr>
        <w:t>降尘，严控扬尘产生</w:t>
      </w:r>
      <w:r>
        <w:rPr>
          <w:rFonts w:hint="eastAsia"/>
          <w:color w:val="auto"/>
          <w:lang w:val="en-US" w:eastAsia="zh-CN"/>
        </w:rPr>
        <w:t>；</w:t>
      </w:r>
      <w:r>
        <w:rPr>
          <w:rFonts w:hint="default"/>
          <w:color w:val="auto"/>
          <w:lang w:val="en-US" w:eastAsia="zh-CN"/>
        </w:rPr>
        <w:t>定期检查场内环境卫生，确保不对周围环境造成污染。装修垃圾存放至一定数量后，联系收运企业将装修垃圾清运到指定的资源化处理厂或</w:t>
      </w:r>
      <w:r>
        <w:rPr>
          <w:rFonts w:hint="eastAsia"/>
          <w:color w:val="auto"/>
          <w:lang w:val="en-US" w:eastAsia="zh-CN"/>
        </w:rPr>
        <w:t>填埋场</w:t>
      </w:r>
      <w:r>
        <w:rPr>
          <w:rFonts w:hint="default"/>
          <w:color w:val="auto"/>
          <w:lang w:val="en-US" w:eastAsia="zh-CN"/>
        </w:rPr>
        <w:t>。</w:t>
      </w:r>
    </w:p>
    <w:p w14:paraId="56B0280B">
      <w:pPr>
        <w:bidi w:val="0"/>
        <w:rPr>
          <w:rFonts w:hint="eastAsia"/>
          <w:color w:val="auto"/>
          <w:lang w:val="en-US" w:eastAsia="zh-CN"/>
        </w:rPr>
      </w:pPr>
      <w:r>
        <w:rPr>
          <w:rFonts w:hint="eastAsia"/>
          <w:color w:val="auto"/>
          <w:lang w:val="en-US" w:eastAsia="zh-CN"/>
        </w:rPr>
        <w:t>（5）运行管理</w:t>
      </w:r>
    </w:p>
    <w:p w14:paraId="37876B2C">
      <w:pPr>
        <w:bidi w:val="0"/>
        <w:rPr>
          <w:rFonts w:hint="eastAsia"/>
          <w:color w:val="auto"/>
          <w:lang w:val="en-US" w:eastAsia="zh-CN"/>
        </w:rPr>
      </w:pPr>
      <w:r>
        <w:rPr>
          <w:rFonts w:hint="default"/>
          <w:color w:val="auto"/>
          <w:lang w:val="en-US" w:eastAsia="zh-CN"/>
        </w:rPr>
        <w:t>区</w:t>
      </w:r>
      <w:r>
        <w:rPr>
          <w:rFonts w:hint="eastAsia"/>
          <w:color w:val="auto"/>
          <w:lang w:val="en-US" w:eastAsia="zh-CN"/>
        </w:rPr>
        <w:t>建筑垃圾主管部门</w:t>
      </w:r>
      <w:r>
        <w:rPr>
          <w:rFonts w:hint="default"/>
          <w:color w:val="auto"/>
          <w:lang w:val="en-US" w:eastAsia="zh-CN"/>
        </w:rPr>
        <w:t>督促</w:t>
      </w:r>
      <w:r>
        <w:rPr>
          <w:rFonts w:hint="eastAsia"/>
          <w:color w:val="auto"/>
          <w:lang w:val="en-US" w:eastAsia="zh-CN"/>
        </w:rPr>
        <w:t>小区物业或属地街道办事处建筑垃圾</w:t>
      </w:r>
      <w:r>
        <w:rPr>
          <w:rFonts w:hint="default"/>
          <w:color w:val="auto"/>
          <w:lang w:val="en-US" w:eastAsia="zh-CN"/>
        </w:rPr>
        <w:t>管理责任</w:t>
      </w:r>
      <w:r>
        <w:rPr>
          <w:rFonts w:hint="eastAsia"/>
          <w:color w:val="auto"/>
          <w:lang w:val="en-US" w:eastAsia="zh-CN"/>
        </w:rPr>
        <w:t>主体</w:t>
      </w:r>
      <w:r>
        <w:rPr>
          <w:rFonts w:hint="default"/>
          <w:color w:val="auto"/>
          <w:lang w:val="en-US" w:eastAsia="zh-CN"/>
        </w:rPr>
        <w:t>编制建筑垃圾治理方案，明确装修垃圾投放规范、时间和地点、监督投诉方式等事项，选择有</w:t>
      </w:r>
      <w:r>
        <w:rPr>
          <w:rFonts w:hint="eastAsia"/>
          <w:color w:val="auto"/>
          <w:lang w:val="en-US" w:eastAsia="zh-CN"/>
        </w:rPr>
        <w:t>相关核准</w:t>
      </w:r>
      <w:r>
        <w:rPr>
          <w:rFonts w:hint="default"/>
          <w:color w:val="auto"/>
          <w:lang w:val="en-US" w:eastAsia="zh-CN"/>
        </w:rPr>
        <w:t>的运输、</w:t>
      </w:r>
      <w:r>
        <w:rPr>
          <w:rFonts w:hint="eastAsia"/>
          <w:color w:val="auto"/>
          <w:lang w:val="en-US" w:eastAsia="zh-CN"/>
        </w:rPr>
        <w:t>处置</w:t>
      </w:r>
      <w:r>
        <w:rPr>
          <w:rFonts w:hint="default"/>
          <w:color w:val="auto"/>
          <w:lang w:val="en-US" w:eastAsia="zh-CN"/>
        </w:rPr>
        <w:t>单位规范处置，采取</w:t>
      </w:r>
      <w:r>
        <w:rPr>
          <w:rFonts w:hint="eastAsia"/>
          <w:color w:val="auto"/>
          <w:lang w:val="en-US" w:eastAsia="zh-CN"/>
        </w:rPr>
        <w:t>“</w:t>
      </w:r>
      <w:r>
        <w:rPr>
          <w:rFonts w:hint="default"/>
          <w:color w:val="auto"/>
          <w:lang w:val="en-US" w:eastAsia="zh-CN"/>
        </w:rPr>
        <w:t>按袋</w:t>
      </w:r>
      <w:r>
        <w:rPr>
          <w:rFonts w:hint="eastAsia"/>
          <w:color w:val="auto"/>
          <w:lang w:val="en-US" w:eastAsia="zh-CN"/>
        </w:rPr>
        <w:t>”“</w:t>
      </w:r>
      <w:r>
        <w:rPr>
          <w:rFonts w:hint="default"/>
          <w:color w:val="auto"/>
          <w:lang w:val="en-US" w:eastAsia="zh-CN"/>
        </w:rPr>
        <w:t>按车</w:t>
      </w:r>
      <w:r>
        <w:rPr>
          <w:rFonts w:hint="eastAsia"/>
          <w:color w:val="auto"/>
          <w:lang w:val="en-US" w:eastAsia="zh-CN"/>
        </w:rPr>
        <w:t>”“</w:t>
      </w:r>
      <w:r>
        <w:rPr>
          <w:rFonts w:hint="default"/>
          <w:color w:val="auto"/>
          <w:lang w:val="en-US" w:eastAsia="zh-CN"/>
        </w:rPr>
        <w:t>按重量</w:t>
      </w:r>
      <w:r>
        <w:rPr>
          <w:rFonts w:hint="eastAsia"/>
          <w:color w:val="auto"/>
          <w:lang w:val="en-US" w:eastAsia="zh-CN"/>
        </w:rPr>
        <w:t>”“</w:t>
      </w:r>
      <w:r>
        <w:rPr>
          <w:rFonts w:hint="default"/>
          <w:color w:val="auto"/>
          <w:lang w:val="en-US" w:eastAsia="zh-CN"/>
        </w:rPr>
        <w:t>按箱</w:t>
      </w:r>
      <w:r>
        <w:rPr>
          <w:rFonts w:hint="eastAsia"/>
          <w:color w:val="auto"/>
          <w:lang w:val="en-US" w:eastAsia="zh-CN"/>
        </w:rPr>
        <w:t>”</w:t>
      </w:r>
      <w:r>
        <w:rPr>
          <w:rFonts w:hint="default"/>
          <w:color w:val="auto"/>
          <w:lang w:val="en-US" w:eastAsia="zh-CN"/>
        </w:rPr>
        <w:t>等方式明示收费标准</w:t>
      </w:r>
      <w:r>
        <w:rPr>
          <w:rFonts w:hint="eastAsia"/>
          <w:color w:val="auto"/>
          <w:lang w:val="en-US" w:eastAsia="zh-CN"/>
        </w:rPr>
        <w:t>。</w:t>
      </w:r>
    </w:p>
    <w:p w14:paraId="22216D0D">
      <w:pPr>
        <w:bidi w:val="0"/>
        <w:rPr>
          <w:rFonts w:hint="default"/>
          <w:color w:val="auto"/>
          <w:highlight w:val="yellow"/>
          <w:lang w:val="en-US" w:eastAsia="zh-CN"/>
        </w:rPr>
      </w:pPr>
      <w:r>
        <w:rPr>
          <w:rFonts w:hint="default"/>
          <w:color w:val="auto"/>
          <w:lang w:val="en-US" w:eastAsia="zh-CN"/>
        </w:rPr>
        <w:t>区建筑垃圾主管部门督促居住小区或属地街道办事处社区建筑垃圾管理责任人做好装修垃圾投放点的运行管理，包括指导居民或装修工人按规定时间、地点和要求规范投放装修垃圾并做好扬尘管理措施</w:t>
      </w:r>
      <w:r>
        <w:rPr>
          <w:rFonts w:hint="eastAsia"/>
          <w:color w:val="auto"/>
          <w:lang w:val="en-US" w:eastAsia="zh-CN"/>
        </w:rPr>
        <w:t>；</w:t>
      </w:r>
      <w:r>
        <w:rPr>
          <w:rFonts w:hint="default"/>
          <w:color w:val="auto"/>
          <w:lang w:val="en-US" w:eastAsia="zh-CN"/>
        </w:rPr>
        <w:t>按照随产随清原则及时清运装修垃圾，确因客观条件不能随产随清的，应采取措施防止扬尘污染，临时堆存的装修垃圾不得超过5日</w:t>
      </w:r>
      <w:r>
        <w:rPr>
          <w:rFonts w:hint="eastAsia"/>
          <w:color w:val="auto"/>
          <w:lang w:val="en-US" w:eastAsia="zh-CN"/>
        </w:rPr>
        <w:t>；</w:t>
      </w:r>
      <w:r>
        <w:rPr>
          <w:rFonts w:hint="default"/>
          <w:color w:val="auto"/>
          <w:lang w:val="en-US" w:eastAsia="zh-CN"/>
        </w:rPr>
        <w:t>装修垃圾投放点严禁混入生活垃圾及其他固体废物，不得存放易燃易爆有毒有害等危险品</w:t>
      </w:r>
      <w:r>
        <w:rPr>
          <w:rFonts w:hint="eastAsia"/>
          <w:color w:val="auto"/>
          <w:lang w:val="en-US" w:eastAsia="zh-CN"/>
        </w:rPr>
        <w:t>；</w:t>
      </w:r>
      <w:r>
        <w:rPr>
          <w:rFonts w:hint="default"/>
          <w:color w:val="auto"/>
          <w:lang w:val="en-US" w:eastAsia="zh-CN"/>
        </w:rPr>
        <w:t>发现居民未按照规定堆放装修垃圾的，应要求其改正，拒不改正的，应向区建筑垃圾主管部门报告。</w:t>
      </w:r>
    </w:p>
    <w:p w14:paraId="550A0FAC">
      <w:pPr>
        <w:bidi w:val="0"/>
        <w:rPr>
          <w:rFonts w:hint="eastAsia"/>
          <w:color w:val="auto"/>
          <w:lang w:val="en-US" w:eastAsia="zh-CN"/>
        </w:rPr>
      </w:pPr>
      <w:r>
        <w:rPr>
          <w:rFonts w:hint="eastAsia"/>
          <w:color w:val="auto"/>
          <w:lang w:val="en-US" w:eastAsia="zh-CN"/>
        </w:rPr>
        <w:t>（6）监督检查</w:t>
      </w:r>
    </w:p>
    <w:p w14:paraId="6301075C">
      <w:pPr>
        <w:bidi w:val="0"/>
        <w:rPr>
          <w:rFonts w:hint="default"/>
          <w:color w:val="auto"/>
          <w:lang w:val="en-US" w:eastAsia="zh-CN"/>
        </w:rPr>
      </w:pPr>
      <w:r>
        <w:rPr>
          <w:rFonts w:hint="eastAsia"/>
          <w:color w:val="auto"/>
          <w:lang w:val="en-US" w:eastAsia="zh-CN"/>
        </w:rPr>
        <w:t>小区物业或</w:t>
      </w:r>
      <w:r>
        <w:rPr>
          <w:rFonts w:hint="default"/>
          <w:color w:val="auto"/>
          <w:lang w:val="en-US" w:eastAsia="zh-CN"/>
        </w:rPr>
        <w:t>属地街道办事处应加强日常监管，每周对居住区装修垃圾投放点管理运行情况开展常态化巡查，严查扬尘污染措施落实和垃圾清运情况。</w:t>
      </w:r>
      <w:r>
        <w:rPr>
          <w:rFonts w:hint="eastAsia"/>
          <w:color w:val="auto"/>
          <w:lang w:val="en-US" w:eastAsia="zh-CN"/>
        </w:rPr>
        <w:t>综合执法部门</w:t>
      </w:r>
      <w:r>
        <w:rPr>
          <w:rFonts w:hint="default"/>
          <w:color w:val="auto"/>
          <w:lang w:val="en-US" w:eastAsia="zh-CN"/>
        </w:rPr>
        <w:t>采取电子运单核查、视频巡视等方式开展常态化监管。</w:t>
      </w:r>
    </w:p>
    <w:p w14:paraId="4DDD5063">
      <w:pPr>
        <w:bidi w:val="0"/>
        <w:rPr>
          <w:rFonts w:hint="default"/>
          <w:color w:val="auto"/>
          <w:lang w:val="en-US" w:eastAsia="zh-CN"/>
        </w:rPr>
      </w:pPr>
      <w:r>
        <w:rPr>
          <w:rFonts w:hint="eastAsia"/>
          <w:color w:val="auto"/>
          <w:lang w:val="en-US" w:eastAsia="zh-CN"/>
        </w:rPr>
        <w:t>对各类</w:t>
      </w:r>
      <w:r>
        <w:rPr>
          <w:rFonts w:hint="default"/>
          <w:color w:val="auto"/>
          <w:lang w:val="en-US" w:eastAsia="zh-CN"/>
        </w:rPr>
        <w:t>检查发现的违法问题要快速整改，依据相关法律规定实施处罚。发现建筑垃圾去向不明、非法中转、就地掩埋、挪作他用等违法处置行为的，区建筑垃圾主管部门要依法快速查处，并依法追究相关方责任</w:t>
      </w:r>
      <w:r>
        <w:rPr>
          <w:rFonts w:hint="eastAsia"/>
          <w:color w:val="auto"/>
          <w:lang w:val="en-US" w:eastAsia="zh-CN"/>
        </w:rPr>
        <w:t>。</w:t>
      </w:r>
    </w:p>
    <w:p w14:paraId="52257299">
      <w:pPr>
        <w:pStyle w:val="4"/>
        <w:bidi w:val="0"/>
        <w:rPr>
          <w:rFonts w:hint="eastAsia"/>
          <w:color w:val="auto"/>
          <w:lang w:val="en-US" w:eastAsia="zh-CN"/>
        </w:rPr>
      </w:pPr>
      <w:bookmarkStart w:id="71" w:name="_Toc21222"/>
      <w:r>
        <w:rPr>
          <w:rFonts w:hint="eastAsia"/>
          <w:color w:val="auto"/>
          <w:lang w:val="en-US" w:eastAsia="zh-CN"/>
        </w:rPr>
        <w:t>6.4.2 建筑垃圾收运车辆规划</w:t>
      </w:r>
      <w:bookmarkEnd w:id="71"/>
    </w:p>
    <w:p w14:paraId="75B63489">
      <w:pPr>
        <w:bidi w:val="0"/>
        <w:rPr>
          <w:rFonts w:hint="default"/>
          <w:b w:val="0"/>
          <w:bCs w:val="0"/>
          <w:color w:val="auto"/>
          <w:lang w:val="en-US" w:eastAsia="zh-CN"/>
        </w:rPr>
      </w:pPr>
      <w:r>
        <w:rPr>
          <w:rFonts w:hint="eastAsia"/>
          <w:b w:val="0"/>
          <w:bCs w:val="0"/>
          <w:color w:val="auto"/>
          <w:lang w:val="en-US" w:eastAsia="zh-CN"/>
        </w:rPr>
        <w:t>（一）</w:t>
      </w:r>
      <w:r>
        <w:rPr>
          <w:rFonts w:hint="default"/>
          <w:b w:val="0"/>
          <w:bCs w:val="0"/>
          <w:color w:val="auto"/>
          <w:lang w:val="en-US" w:eastAsia="zh-CN"/>
        </w:rPr>
        <w:t>车辆技术要求</w:t>
      </w:r>
    </w:p>
    <w:p w14:paraId="58F6C3E5">
      <w:pPr>
        <w:bidi w:val="0"/>
        <w:rPr>
          <w:rFonts w:hint="default"/>
          <w:color w:val="auto"/>
          <w:lang w:val="en-US" w:eastAsia="zh-CN"/>
        </w:rPr>
      </w:pPr>
      <w:r>
        <w:rPr>
          <w:rFonts w:hint="eastAsia"/>
          <w:color w:val="auto"/>
          <w:lang w:val="en-US" w:eastAsia="zh-CN"/>
        </w:rPr>
        <w:t>（1）</w:t>
      </w:r>
      <w:r>
        <w:rPr>
          <w:rFonts w:hint="default"/>
          <w:color w:val="auto"/>
          <w:lang w:val="en-US" w:eastAsia="zh-CN"/>
        </w:rPr>
        <w:t>运输车辆，工程渣土、工程垃圾和</w:t>
      </w:r>
      <w:r>
        <w:rPr>
          <w:rFonts w:hint="eastAsia"/>
          <w:color w:val="auto"/>
          <w:lang w:val="en-US" w:eastAsia="zh-CN"/>
        </w:rPr>
        <w:t>拆除垃圾</w:t>
      </w:r>
      <w:r>
        <w:rPr>
          <w:rFonts w:hint="default"/>
          <w:color w:val="auto"/>
          <w:lang w:val="en-US" w:eastAsia="zh-CN"/>
        </w:rPr>
        <w:t>的运输采用大型密闭化运输车，工程泥浆运输应采用密闭式罐车</w:t>
      </w:r>
      <w:r>
        <w:rPr>
          <w:rFonts w:hint="eastAsia"/>
          <w:color w:val="auto"/>
          <w:lang w:val="en-US" w:eastAsia="zh-CN"/>
        </w:rPr>
        <w:t>；</w:t>
      </w:r>
      <w:r>
        <w:rPr>
          <w:rFonts w:hint="default"/>
          <w:color w:val="auto"/>
          <w:lang w:val="en-US" w:eastAsia="zh-CN"/>
        </w:rPr>
        <w:t>装修垃圾从收集点至转运</w:t>
      </w:r>
      <w:r>
        <w:rPr>
          <w:rFonts w:hint="eastAsia"/>
          <w:color w:val="auto"/>
          <w:lang w:val="en-US" w:eastAsia="zh-CN"/>
        </w:rPr>
        <w:t>调配场</w:t>
      </w:r>
      <w:r>
        <w:rPr>
          <w:rFonts w:hint="default"/>
          <w:color w:val="auto"/>
          <w:lang w:val="en-US" w:eastAsia="zh-CN"/>
        </w:rPr>
        <w:t>或资源利用厂阶段采用小型密闭化运输车辆。收运单位的运输车辆应具有行驶证和营运证，并取得《</w:t>
      </w:r>
      <w:r>
        <w:rPr>
          <w:rFonts w:hint="eastAsia"/>
          <w:color w:val="auto"/>
          <w:lang w:val="en-US" w:eastAsia="zh-CN"/>
        </w:rPr>
        <w:t>建筑垃圾处置（运输）证</w:t>
      </w:r>
      <w:r>
        <w:rPr>
          <w:rFonts w:hint="default"/>
          <w:color w:val="auto"/>
          <w:lang w:val="en-US" w:eastAsia="zh-CN"/>
        </w:rPr>
        <w:t>》，建筑垃圾收运车辆应采用列入</w:t>
      </w:r>
      <w:r>
        <w:rPr>
          <w:rFonts w:hint="eastAsia"/>
          <w:color w:val="auto"/>
          <w:lang w:val="en-US" w:eastAsia="zh-CN"/>
        </w:rPr>
        <w:t>工业和信息化部</w:t>
      </w:r>
      <w:r>
        <w:rPr>
          <w:rFonts w:hint="default"/>
          <w:color w:val="auto"/>
          <w:lang w:val="en-US" w:eastAsia="zh-CN"/>
        </w:rPr>
        <w:t>《车辆生产企业及产品公告》内的产品车辆的特征应与产品公告、出厂合格证相符，应满足国家、行业对机动车安全、排放、噪声、油耗的相关法规及标准要求。</w:t>
      </w:r>
    </w:p>
    <w:p w14:paraId="048E9DAB">
      <w:pPr>
        <w:bidi w:val="0"/>
        <w:rPr>
          <w:rFonts w:hint="default"/>
          <w:color w:val="auto"/>
          <w:lang w:val="en-US" w:eastAsia="zh-CN"/>
        </w:rPr>
      </w:pPr>
      <w:r>
        <w:rPr>
          <w:rFonts w:hint="eastAsia"/>
          <w:color w:val="auto"/>
          <w:lang w:val="en-US" w:eastAsia="zh-CN"/>
        </w:rPr>
        <w:t>（2）</w:t>
      </w:r>
      <w:r>
        <w:rPr>
          <w:rFonts w:hint="default"/>
          <w:color w:val="auto"/>
          <w:lang w:val="en-US" w:eastAsia="zh-CN"/>
        </w:rPr>
        <w:t>车辆驾驶室顶部应设置标志性顶灯，灯箱应固定牢固，同一运输单位的运输车辆颜色宜统一。应根据自身情况统一车辆车身及车厢主体颜色</w:t>
      </w:r>
      <w:r>
        <w:rPr>
          <w:rFonts w:hint="eastAsia"/>
          <w:color w:val="auto"/>
          <w:lang w:val="en-US" w:eastAsia="zh-CN"/>
        </w:rPr>
        <w:t>；</w:t>
      </w:r>
      <w:r>
        <w:rPr>
          <w:rFonts w:hint="default"/>
          <w:color w:val="auto"/>
          <w:lang w:val="en-US" w:eastAsia="zh-CN"/>
        </w:rPr>
        <w:t>车辆后箱板应使用反光材料喷涂牌号</w:t>
      </w:r>
      <w:r>
        <w:rPr>
          <w:rFonts w:hint="eastAsia"/>
          <w:color w:val="auto"/>
          <w:lang w:val="en-US" w:eastAsia="zh-CN"/>
        </w:rPr>
        <w:t>；</w:t>
      </w:r>
      <w:r>
        <w:rPr>
          <w:rFonts w:hint="default"/>
          <w:color w:val="auto"/>
          <w:lang w:val="en-US" w:eastAsia="zh-CN"/>
        </w:rPr>
        <w:t>驾驶室两侧车门应喷涂清运企业名称</w:t>
      </w:r>
      <w:r>
        <w:rPr>
          <w:rFonts w:hint="eastAsia"/>
          <w:color w:val="auto"/>
          <w:lang w:val="en-US" w:eastAsia="zh-CN"/>
        </w:rPr>
        <w:t>；</w:t>
      </w:r>
      <w:r>
        <w:rPr>
          <w:rFonts w:hint="default"/>
          <w:color w:val="auto"/>
          <w:lang w:val="en-US" w:eastAsia="zh-CN"/>
        </w:rPr>
        <w:t>车侧身及后箱板应喷涂监督举报电话且车身应设置一定数量的反光贴</w:t>
      </w:r>
      <w:r>
        <w:rPr>
          <w:rFonts w:hint="eastAsia"/>
          <w:color w:val="auto"/>
          <w:lang w:val="en-US" w:eastAsia="zh-CN"/>
        </w:rPr>
        <w:t>。</w:t>
      </w:r>
    </w:p>
    <w:p w14:paraId="4DBE4A2E">
      <w:pPr>
        <w:bidi w:val="0"/>
        <w:rPr>
          <w:rFonts w:hint="eastAsia"/>
          <w:color w:val="auto"/>
          <w:lang w:val="en-US" w:eastAsia="zh-CN"/>
        </w:rPr>
      </w:pPr>
      <w:r>
        <w:rPr>
          <w:rFonts w:hint="eastAsia"/>
          <w:color w:val="auto"/>
          <w:lang w:val="en-US" w:eastAsia="zh-CN"/>
        </w:rPr>
        <w:t>（3）</w:t>
      </w:r>
      <w:r>
        <w:rPr>
          <w:rFonts w:hint="default"/>
          <w:color w:val="auto"/>
          <w:lang w:val="en-US" w:eastAsia="zh-CN"/>
        </w:rPr>
        <w:t>新购置的建筑垃圾清运车辆应符合国家工业和信息化部相关技术要求，车厢顶部宜采用刚性密闭装置，且宜安装闭合限位传感器，并与车载终端连接，车厢主体不宜采用外表面易残留建筑垃圾的外露加强筋结构，车厢内表面平顺光滑，改装车辆车厢顶部宜采用纵向开闭柔性结构篷布覆盖密闭装置</w:t>
      </w:r>
      <w:r>
        <w:rPr>
          <w:rFonts w:hint="eastAsia"/>
          <w:color w:val="auto"/>
          <w:lang w:val="en-US" w:eastAsia="zh-CN"/>
        </w:rPr>
        <w:t>。</w:t>
      </w:r>
    </w:p>
    <w:p w14:paraId="3C4E347C">
      <w:pPr>
        <w:bidi w:val="0"/>
        <w:rPr>
          <w:rFonts w:hint="default"/>
          <w:color w:val="auto"/>
          <w:lang w:val="en-US" w:eastAsia="zh-CN"/>
        </w:rPr>
      </w:pPr>
      <w:r>
        <w:rPr>
          <w:rFonts w:hint="eastAsia"/>
          <w:color w:val="auto"/>
          <w:lang w:val="en-US" w:eastAsia="zh-CN"/>
        </w:rPr>
        <w:t>（4）建筑垃圾清运车辆应安装监控系统。监控系统由车载卫星定位系统和车载影像系统等组成，并应能接入建筑垃圾全过程信息化监管平台。监控系统可实时查询每台车辆的精确位置、运输时间、行驶速度、行驶路线等信息，且可设置电子围栏，进行线路控制；并可预设车速，实现车辆超速报警功能，实现精准管理。</w:t>
      </w:r>
    </w:p>
    <w:p w14:paraId="41210819">
      <w:pPr>
        <w:bidi w:val="0"/>
        <w:rPr>
          <w:rFonts w:hint="default"/>
          <w:b w:val="0"/>
          <w:bCs w:val="0"/>
          <w:color w:val="auto"/>
          <w:lang w:val="en-US" w:eastAsia="zh-CN"/>
        </w:rPr>
      </w:pPr>
      <w:r>
        <w:rPr>
          <w:rFonts w:hint="eastAsia"/>
          <w:b w:val="0"/>
          <w:bCs w:val="0"/>
          <w:color w:val="auto"/>
          <w:lang w:val="en-US" w:eastAsia="zh-CN"/>
        </w:rPr>
        <w:t>（二）</w:t>
      </w:r>
      <w:r>
        <w:rPr>
          <w:rFonts w:hint="default"/>
          <w:b w:val="0"/>
          <w:bCs w:val="0"/>
          <w:color w:val="auto"/>
          <w:lang w:val="en-US" w:eastAsia="zh-CN"/>
        </w:rPr>
        <w:t>车辆管理</w:t>
      </w:r>
    </w:p>
    <w:p w14:paraId="235AE742">
      <w:pPr>
        <w:bidi w:val="0"/>
        <w:rPr>
          <w:rFonts w:hint="eastAsia"/>
          <w:color w:val="auto"/>
          <w:lang w:val="en-US" w:eastAsia="zh-CN"/>
        </w:rPr>
      </w:pPr>
      <w:r>
        <w:rPr>
          <w:rFonts w:hint="default"/>
          <w:color w:val="auto"/>
          <w:lang w:val="en-US" w:eastAsia="zh-CN"/>
        </w:rPr>
        <w:t>任何单位和个人不得随意运输、倾倒建筑垃圾。建筑垃圾应由核准的从事建筑垃圾运输服务的企业运输，分类堆放的建筑垃圾应分别运输。建筑垃圾运输工具应外观整洁、</w:t>
      </w:r>
      <w:r>
        <w:rPr>
          <w:rFonts w:hint="eastAsia"/>
          <w:color w:val="auto"/>
          <w:lang w:val="en-US" w:eastAsia="zh-CN"/>
        </w:rPr>
        <w:t>标识</w:t>
      </w:r>
      <w:r>
        <w:rPr>
          <w:rFonts w:hint="default"/>
          <w:color w:val="auto"/>
          <w:lang w:val="en-US" w:eastAsia="zh-CN"/>
        </w:rPr>
        <w:t>齐全，车辆底盘、车轮无大块泥沙等附着物。对符合相关标准要求的全密闭式运输车辆统一纳入建筑垃圾全过程信息化监管平台规范管理</w:t>
      </w:r>
      <w:r>
        <w:rPr>
          <w:rFonts w:hint="eastAsia"/>
          <w:color w:val="auto"/>
          <w:lang w:val="en-US" w:eastAsia="zh-CN"/>
        </w:rPr>
        <w:t>；</w:t>
      </w:r>
      <w:r>
        <w:rPr>
          <w:rFonts w:hint="default"/>
          <w:color w:val="auto"/>
          <w:lang w:val="en-US" w:eastAsia="zh-CN"/>
        </w:rPr>
        <w:t>保持运输车辆的行驶及装卸记录等电子装置正常使用。按照核准证规定的时间、路线收运建筑垃圾至指定的建筑垃圾处置设施和场所，不得沿途泄漏、遗撒、倾倒建筑垃圾</w:t>
      </w:r>
      <w:r>
        <w:rPr>
          <w:rFonts w:hint="eastAsia"/>
          <w:color w:val="auto"/>
          <w:lang w:val="en-US" w:eastAsia="zh-CN"/>
        </w:rPr>
        <w:t>。</w:t>
      </w:r>
    </w:p>
    <w:p w14:paraId="2A9C9BD3">
      <w:pPr>
        <w:pStyle w:val="3"/>
        <w:bidi w:val="0"/>
        <w:rPr>
          <w:rFonts w:hint="eastAsia"/>
          <w:color w:val="auto"/>
          <w:lang w:val="en-US" w:eastAsia="zh-CN"/>
        </w:rPr>
      </w:pPr>
      <w:bookmarkStart w:id="72" w:name="_Toc14608"/>
      <w:r>
        <w:rPr>
          <w:rFonts w:hint="eastAsia"/>
          <w:color w:val="auto"/>
          <w:lang w:val="en-US" w:eastAsia="zh-CN"/>
        </w:rPr>
        <w:t>6.5 建筑垃圾收运线路规划</w:t>
      </w:r>
      <w:bookmarkEnd w:id="72"/>
    </w:p>
    <w:p w14:paraId="1AA98CE6">
      <w:pPr>
        <w:bidi w:val="0"/>
        <w:rPr>
          <w:rFonts w:hint="default"/>
          <w:color w:val="auto"/>
          <w:lang w:val="en-US" w:eastAsia="zh-CN"/>
        </w:rPr>
      </w:pPr>
      <w:r>
        <w:rPr>
          <w:rFonts w:hint="default"/>
          <w:color w:val="auto"/>
          <w:lang w:val="en-US" w:eastAsia="zh-CN"/>
        </w:rPr>
        <w:t>建筑垃圾运输车辆属于特殊行业运输车辆，在</w:t>
      </w:r>
      <w:r>
        <w:rPr>
          <w:rFonts w:hint="eastAsia"/>
          <w:color w:val="auto"/>
          <w:lang w:val="en-US" w:eastAsia="zh-CN"/>
        </w:rPr>
        <w:t>本溪市</w:t>
      </w:r>
      <w:r>
        <w:rPr>
          <w:rFonts w:hint="default"/>
          <w:color w:val="auto"/>
          <w:lang w:val="en-US" w:eastAsia="zh-CN"/>
        </w:rPr>
        <w:t>范围内运输需要由建筑垃圾产生企业向</w:t>
      </w:r>
      <w:r>
        <w:rPr>
          <w:rFonts w:hint="eastAsia"/>
          <w:color w:val="auto"/>
          <w:lang w:val="en-US" w:eastAsia="zh-CN"/>
        </w:rPr>
        <w:t>本溪市建筑垃圾主管部门及</w:t>
      </w:r>
      <w:r>
        <w:rPr>
          <w:rFonts w:hint="default"/>
          <w:color w:val="auto"/>
          <w:lang w:val="en-US" w:eastAsia="zh-CN"/>
        </w:rPr>
        <w:t xml:space="preserve">公安交警部门申报，收运线路由建筑垃圾主管部门及公安交警部门根据项目报批的所在地拟定，制定的原则有： </w:t>
      </w:r>
    </w:p>
    <w:p w14:paraId="40FD3DE5">
      <w:pPr>
        <w:bidi w:val="0"/>
        <w:rPr>
          <w:rFonts w:hint="default"/>
          <w:color w:val="auto"/>
          <w:lang w:val="en-US" w:eastAsia="zh-CN"/>
        </w:rPr>
      </w:pPr>
      <w:r>
        <w:rPr>
          <w:rFonts w:hint="default"/>
          <w:color w:val="auto"/>
          <w:lang w:val="en-US" w:eastAsia="zh-CN"/>
        </w:rPr>
        <w:t xml:space="preserve">（1）就近运输、减少成本； </w:t>
      </w:r>
    </w:p>
    <w:p w14:paraId="0E190F1B">
      <w:pPr>
        <w:bidi w:val="0"/>
        <w:rPr>
          <w:rFonts w:hint="default"/>
          <w:color w:val="auto"/>
          <w:lang w:val="en-US" w:eastAsia="zh-CN"/>
        </w:rPr>
      </w:pPr>
      <w:r>
        <w:rPr>
          <w:rFonts w:hint="default"/>
          <w:color w:val="auto"/>
          <w:lang w:val="en-US" w:eastAsia="zh-CN"/>
        </w:rPr>
        <w:t xml:space="preserve">（2）允许全天收运，但限行时段和限行路段除外； </w:t>
      </w:r>
    </w:p>
    <w:p w14:paraId="7CFDD198">
      <w:pPr>
        <w:bidi w:val="0"/>
        <w:rPr>
          <w:rFonts w:hint="default"/>
          <w:color w:val="auto"/>
          <w:lang w:val="en-US" w:eastAsia="zh-CN"/>
        </w:rPr>
      </w:pPr>
      <w:r>
        <w:rPr>
          <w:rFonts w:hint="default"/>
          <w:color w:val="auto"/>
          <w:lang w:val="en-US" w:eastAsia="zh-CN"/>
        </w:rPr>
        <w:t xml:space="preserve">（3）允许相邻城区协同推进资源化利用的跨区收运。 </w:t>
      </w:r>
    </w:p>
    <w:p w14:paraId="3CC8CAFB">
      <w:pPr>
        <w:bidi w:val="0"/>
        <w:jc w:val="left"/>
        <w:rPr>
          <w:rFonts w:hint="default"/>
          <w:color w:val="auto"/>
          <w:lang w:val="en-US" w:eastAsia="zh-CN"/>
        </w:rPr>
      </w:pPr>
      <w:r>
        <w:rPr>
          <w:rFonts w:hint="default"/>
          <w:color w:val="auto"/>
          <w:lang w:val="en-US" w:eastAsia="zh-CN"/>
        </w:rPr>
        <w:t>综上，本规划要求建筑垃圾收运路线必须严格按照报审运输路线行驶，不得</w:t>
      </w:r>
      <w:r>
        <w:rPr>
          <w:rFonts w:hint="eastAsia"/>
          <w:color w:val="auto"/>
          <w:lang w:val="en-US" w:eastAsia="zh-CN"/>
        </w:rPr>
        <w:t>在规定外的路线私自运输建筑垃圾</w:t>
      </w:r>
      <w:r>
        <w:rPr>
          <w:rFonts w:hint="default"/>
          <w:color w:val="auto"/>
          <w:lang w:val="en-US" w:eastAsia="zh-CN"/>
        </w:rPr>
        <w:t>。</w:t>
      </w:r>
    </w:p>
    <w:p w14:paraId="1031AC59">
      <w:pPr>
        <w:rPr>
          <w:rFonts w:hint="default"/>
          <w:color w:val="auto"/>
          <w:lang w:val="en-US" w:eastAsia="zh-CN"/>
        </w:rPr>
      </w:pPr>
      <w:r>
        <w:rPr>
          <w:rFonts w:hint="default"/>
          <w:color w:val="auto"/>
          <w:lang w:val="en-US" w:eastAsia="zh-CN"/>
        </w:rPr>
        <w:br w:type="page"/>
      </w:r>
    </w:p>
    <w:p w14:paraId="6494FBFA">
      <w:pPr>
        <w:bidi w:val="0"/>
        <w:ind w:left="0" w:leftChars="0" w:firstLine="0" w:firstLineChars="0"/>
        <w:jc w:val="center"/>
        <w:rPr>
          <w:rFonts w:hint="eastAsia"/>
          <w:color w:val="auto"/>
          <w:lang w:val="en-US" w:eastAsia="zh-CN"/>
        </w:rPr>
      </w:pPr>
      <w:bookmarkStart w:id="73" w:name="_Toc4768"/>
      <w:r>
        <w:rPr>
          <w:rStyle w:val="25"/>
          <w:rFonts w:hint="eastAsia"/>
          <w:color w:val="auto"/>
          <w:lang w:val="en-US" w:eastAsia="zh-CN"/>
        </w:rPr>
        <w:t>第七章 建筑垃圾利用及处置规划</w:t>
      </w:r>
      <w:bookmarkEnd w:id="73"/>
    </w:p>
    <w:p w14:paraId="09909C22">
      <w:pPr>
        <w:pStyle w:val="3"/>
        <w:bidi w:val="0"/>
        <w:rPr>
          <w:rFonts w:hint="eastAsia"/>
          <w:color w:val="auto"/>
          <w:lang w:val="en-US" w:eastAsia="zh-CN"/>
        </w:rPr>
      </w:pPr>
      <w:bookmarkStart w:id="74" w:name="_Toc15286"/>
      <w:r>
        <w:rPr>
          <w:rFonts w:hint="eastAsia"/>
          <w:color w:val="auto"/>
          <w:lang w:val="en-US" w:eastAsia="zh-CN"/>
        </w:rPr>
        <w:t>7.1 建筑垃圾的处理模式</w:t>
      </w:r>
      <w:bookmarkEnd w:id="74"/>
    </w:p>
    <w:p w14:paraId="662A186B">
      <w:pPr>
        <w:bidi w:val="0"/>
        <w:rPr>
          <w:rFonts w:hint="eastAsia"/>
          <w:color w:val="auto"/>
          <w:lang w:val="en-US" w:eastAsia="zh-CN"/>
        </w:rPr>
      </w:pPr>
      <w:r>
        <w:rPr>
          <w:rFonts w:hint="eastAsia"/>
          <w:color w:val="auto"/>
          <w:lang w:val="en-US" w:eastAsia="zh-CN"/>
        </w:rPr>
        <w:t>本</w:t>
      </w:r>
      <w:r>
        <w:rPr>
          <w:rFonts w:hint="default"/>
          <w:color w:val="auto"/>
          <w:lang w:val="en-US" w:eastAsia="zh-CN"/>
        </w:rPr>
        <w:t>规划根据</w:t>
      </w:r>
      <w:r>
        <w:rPr>
          <w:rFonts w:hint="eastAsia"/>
          <w:color w:val="auto"/>
          <w:lang w:val="en-US" w:eastAsia="zh-CN"/>
        </w:rPr>
        <w:t>本溪市国土空间规划，</w:t>
      </w:r>
      <w:r>
        <w:rPr>
          <w:rFonts w:hint="default"/>
          <w:color w:val="auto"/>
          <w:lang w:val="en-US" w:eastAsia="zh-CN"/>
        </w:rPr>
        <w:t>通过现状分析测算规划期内建筑垃圾产生量选择</w:t>
      </w:r>
      <w:r>
        <w:rPr>
          <w:rFonts w:hint="eastAsia"/>
          <w:color w:val="auto"/>
          <w:lang w:val="en-US" w:eastAsia="zh-CN"/>
        </w:rPr>
        <w:t>建设建筑垃圾处理设施</w:t>
      </w:r>
      <w:r>
        <w:rPr>
          <w:rFonts w:hint="default"/>
          <w:color w:val="auto"/>
          <w:lang w:val="en-US" w:eastAsia="zh-CN"/>
        </w:rPr>
        <w:t>。充分利用建筑垃圾的循环使用性能，对建筑垃圾中的渣土、砖瓦、混凝土、金属、木材等进行分选，近期至20</w:t>
      </w:r>
      <w:r>
        <w:rPr>
          <w:rFonts w:hint="eastAsia"/>
          <w:color w:val="auto"/>
          <w:lang w:val="en-US" w:eastAsia="zh-CN"/>
        </w:rPr>
        <w:t>30</w:t>
      </w:r>
      <w:r>
        <w:rPr>
          <w:rFonts w:hint="default"/>
          <w:color w:val="auto"/>
          <w:lang w:val="en-US" w:eastAsia="zh-CN"/>
        </w:rPr>
        <w:t>年逐步建立和完善建筑垃圾专项运输、专项处理利用体系，加强源头分类、控源减量，配置托底保障设施，实现建筑垃圾从源头到处置的全过程管控。远期至2035年，建立建筑垃圾</w:t>
      </w:r>
      <w:r>
        <w:rPr>
          <w:rFonts w:hint="eastAsia"/>
          <w:color w:val="auto"/>
          <w:lang w:val="en-US" w:eastAsia="zh-CN"/>
        </w:rPr>
        <w:t>处置</w:t>
      </w:r>
      <w:r>
        <w:rPr>
          <w:rFonts w:hint="default"/>
          <w:color w:val="auto"/>
          <w:lang w:val="en-US" w:eastAsia="zh-CN"/>
        </w:rPr>
        <w:t>系统、建筑垃圾收运系统、建筑垃圾产业体系</w:t>
      </w:r>
      <w:r>
        <w:rPr>
          <w:rFonts w:hint="eastAsia"/>
          <w:color w:val="auto"/>
          <w:lang w:val="en-US" w:eastAsia="zh-CN"/>
        </w:rPr>
        <w:t>；</w:t>
      </w:r>
      <w:r>
        <w:rPr>
          <w:rFonts w:hint="default"/>
          <w:color w:val="auto"/>
          <w:lang w:val="en-US" w:eastAsia="zh-CN"/>
        </w:rPr>
        <w:t>形成建筑垃圾全过程环境保护与安全卫生管控机制，实现建筑垃圾从产生到消纳</w:t>
      </w:r>
      <w:r>
        <w:rPr>
          <w:rFonts w:hint="eastAsia"/>
          <w:color w:val="auto"/>
          <w:lang w:val="en-US" w:eastAsia="zh-CN"/>
        </w:rPr>
        <w:t>处置</w:t>
      </w:r>
      <w:r>
        <w:rPr>
          <w:rFonts w:hint="default"/>
          <w:color w:val="auto"/>
          <w:lang w:val="en-US" w:eastAsia="zh-CN"/>
        </w:rPr>
        <w:t>的全过程信息化、智能化控制和管理。</w:t>
      </w:r>
    </w:p>
    <w:p w14:paraId="30CC8A01">
      <w:pPr>
        <w:bidi w:val="0"/>
        <w:rPr>
          <w:rFonts w:hint="default"/>
          <w:color w:val="auto"/>
          <w:lang w:val="en-US" w:eastAsia="zh-CN"/>
        </w:rPr>
      </w:pPr>
      <w:r>
        <w:rPr>
          <w:rFonts w:hint="default"/>
          <w:color w:val="auto"/>
          <w:lang w:val="en-US" w:eastAsia="zh-CN"/>
        </w:rPr>
        <w:t>建筑垃圾处理设施分为建筑垃圾转运调配设施、建筑垃圾资源化利用设施和建筑垃圾填埋</w:t>
      </w:r>
      <w:r>
        <w:rPr>
          <w:rFonts w:hint="eastAsia"/>
          <w:color w:val="auto"/>
          <w:lang w:val="en-US" w:eastAsia="zh-CN"/>
        </w:rPr>
        <w:t>处置</w:t>
      </w:r>
      <w:r>
        <w:rPr>
          <w:rFonts w:hint="default"/>
          <w:color w:val="auto"/>
          <w:lang w:val="en-US" w:eastAsia="zh-CN"/>
        </w:rPr>
        <w:t>设施三大类。其中，建筑垃圾填埋</w:t>
      </w:r>
      <w:r>
        <w:rPr>
          <w:rFonts w:hint="eastAsia"/>
          <w:color w:val="auto"/>
          <w:lang w:val="en-US" w:eastAsia="zh-CN"/>
        </w:rPr>
        <w:t>处置</w:t>
      </w:r>
      <w:r>
        <w:rPr>
          <w:rFonts w:hint="default"/>
          <w:color w:val="auto"/>
          <w:lang w:val="en-US" w:eastAsia="zh-CN"/>
        </w:rPr>
        <w:t>设施包括建筑垃圾</w:t>
      </w:r>
      <w:r>
        <w:rPr>
          <w:rFonts w:hint="eastAsia"/>
          <w:color w:val="auto"/>
          <w:lang w:val="en-US" w:eastAsia="zh-CN"/>
        </w:rPr>
        <w:t>堆填</w:t>
      </w:r>
      <w:r>
        <w:rPr>
          <w:rFonts w:hint="default"/>
          <w:color w:val="auto"/>
          <w:lang w:val="en-US" w:eastAsia="zh-CN"/>
        </w:rPr>
        <w:t>场和建筑垃圾</w:t>
      </w:r>
      <w:r>
        <w:rPr>
          <w:rFonts w:hint="eastAsia"/>
          <w:color w:val="auto"/>
          <w:lang w:val="en-US" w:eastAsia="zh-CN"/>
        </w:rPr>
        <w:t>填埋</w:t>
      </w:r>
      <w:r>
        <w:rPr>
          <w:rFonts w:hint="default"/>
          <w:color w:val="auto"/>
          <w:lang w:val="en-US" w:eastAsia="zh-CN"/>
        </w:rPr>
        <w:t>场两类。</w:t>
      </w:r>
    </w:p>
    <w:p w14:paraId="18103C3D">
      <w:pPr>
        <w:pStyle w:val="26"/>
        <w:bidi w:val="0"/>
        <w:rPr>
          <w:rFonts w:hint="default"/>
          <w:color w:val="auto"/>
          <w:sz w:val="24"/>
          <w:szCs w:val="20"/>
          <w:lang w:val="en-US" w:eastAsia="zh-CN"/>
        </w:rPr>
      </w:pPr>
      <w:r>
        <w:rPr>
          <w:rFonts w:hint="eastAsia"/>
          <w:color w:val="auto"/>
          <w:sz w:val="24"/>
          <w:szCs w:val="20"/>
          <w:lang w:val="en-US" w:eastAsia="zh-CN"/>
        </w:rPr>
        <w:t>表7.1-1 建筑垃圾处理设施分类</w:t>
      </w:r>
    </w:p>
    <w:tbl>
      <w:tblPr>
        <w:tblStyle w:val="1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2"/>
        <w:gridCol w:w="7295"/>
      </w:tblGrid>
      <w:tr w14:paraId="7BEA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5" w:type="pct"/>
            <w:vAlign w:val="center"/>
          </w:tcPr>
          <w:p w14:paraId="4C2D0424">
            <w:pPr>
              <w:widowControl w:val="0"/>
              <w:bidi w:val="0"/>
              <w:ind w:left="0" w:leftChars="0" w:firstLine="0" w:firstLineChars="0"/>
              <w:jc w:val="center"/>
              <w:rPr>
                <w:rFonts w:hint="default"/>
                <w:color w:val="auto"/>
                <w:sz w:val="24"/>
                <w:szCs w:val="20"/>
                <w:lang w:val="en-US" w:eastAsia="zh-CN"/>
              </w:rPr>
            </w:pPr>
            <w:r>
              <w:rPr>
                <w:rFonts w:hint="eastAsia" w:ascii="Times New Roman" w:eastAsia="宋体"/>
                <w:color w:val="auto"/>
                <w:sz w:val="24"/>
                <w:szCs w:val="20"/>
                <w:lang w:val="en-US" w:eastAsia="zh-CN"/>
              </w:rPr>
              <w:t>设施类型</w:t>
            </w:r>
          </w:p>
        </w:tc>
        <w:tc>
          <w:tcPr>
            <w:tcW w:w="3484" w:type="pct"/>
            <w:vAlign w:val="center"/>
          </w:tcPr>
          <w:p w14:paraId="6291F90A">
            <w:pPr>
              <w:widowControl w:val="0"/>
              <w:bidi w:val="0"/>
              <w:ind w:left="0" w:leftChars="0" w:firstLine="0" w:firstLineChars="0"/>
              <w:jc w:val="center"/>
              <w:rPr>
                <w:rFonts w:hint="default"/>
                <w:color w:val="auto"/>
                <w:sz w:val="24"/>
                <w:szCs w:val="20"/>
                <w:lang w:val="en-US" w:eastAsia="zh-CN"/>
              </w:rPr>
            </w:pPr>
            <w:r>
              <w:rPr>
                <w:rFonts w:hint="eastAsia" w:ascii="Times New Roman" w:eastAsia="宋体"/>
                <w:color w:val="auto"/>
                <w:sz w:val="24"/>
                <w:szCs w:val="20"/>
                <w:lang w:val="en-US" w:eastAsia="zh-CN"/>
              </w:rPr>
              <w:t>设施名称</w:t>
            </w:r>
          </w:p>
        </w:tc>
      </w:tr>
      <w:tr w14:paraId="3DB5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5" w:type="pct"/>
            <w:vAlign w:val="center"/>
          </w:tcPr>
          <w:p w14:paraId="607399DB">
            <w:pPr>
              <w:widowControl w:val="0"/>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转运调配设施</w:t>
            </w:r>
          </w:p>
        </w:tc>
        <w:tc>
          <w:tcPr>
            <w:tcW w:w="3484" w:type="pct"/>
            <w:vAlign w:val="center"/>
          </w:tcPr>
          <w:p w14:paraId="1F915B7A">
            <w:pPr>
              <w:widowControl w:val="0"/>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建筑垃圾转运调配场</w:t>
            </w:r>
          </w:p>
        </w:tc>
      </w:tr>
      <w:tr w14:paraId="6421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5" w:type="pct"/>
            <w:vAlign w:val="center"/>
          </w:tcPr>
          <w:p w14:paraId="09A4EC16">
            <w:pPr>
              <w:widowControl w:val="0"/>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资源化利用设施</w:t>
            </w:r>
          </w:p>
        </w:tc>
        <w:tc>
          <w:tcPr>
            <w:tcW w:w="3484" w:type="pct"/>
            <w:vAlign w:val="center"/>
          </w:tcPr>
          <w:p w14:paraId="05DF6412">
            <w:pPr>
              <w:widowControl w:val="0"/>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建筑垃圾资源化利用厂</w:t>
            </w:r>
            <w:r>
              <w:rPr>
                <w:rFonts w:hint="eastAsia"/>
                <w:color w:val="auto"/>
                <w:sz w:val="24"/>
                <w:szCs w:val="20"/>
                <w:lang w:val="en-US" w:eastAsia="zh-CN"/>
              </w:rPr>
              <w:t>（</w:t>
            </w:r>
            <w:r>
              <w:rPr>
                <w:rFonts w:hint="default"/>
                <w:color w:val="auto"/>
                <w:sz w:val="24"/>
                <w:szCs w:val="20"/>
                <w:lang w:val="en-US" w:eastAsia="zh-CN"/>
              </w:rPr>
              <w:t>场</w:t>
            </w:r>
            <w:r>
              <w:rPr>
                <w:rFonts w:hint="eastAsia"/>
                <w:color w:val="auto"/>
                <w:sz w:val="24"/>
                <w:szCs w:val="20"/>
                <w:lang w:val="en-US" w:eastAsia="zh-CN"/>
              </w:rPr>
              <w:t>）</w:t>
            </w:r>
          </w:p>
        </w:tc>
      </w:tr>
      <w:tr w14:paraId="7ACE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5" w:type="pct"/>
            <w:vAlign w:val="center"/>
          </w:tcPr>
          <w:p w14:paraId="0B7A78A3">
            <w:pPr>
              <w:widowControl w:val="0"/>
              <w:bidi w:val="0"/>
              <w:ind w:left="0" w:leftChars="0" w:firstLine="0" w:firstLineChars="0"/>
              <w:jc w:val="center"/>
              <w:rPr>
                <w:rFonts w:hint="default"/>
                <w:color w:val="auto"/>
                <w:sz w:val="24"/>
                <w:szCs w:val="20"/>
                <w:lang w:val="en-US" w:eastAsia="zh-CN"/>
              </w:rPr>
            </w:pPr>
            <w:r>
              <w:rPr>
                <w:rFonts w:hint="eastAsia"/>
                <w:color w:val="auto"/>
                <w:sz w:val="24"/>
                <w:szCs w:val="20"/>
                <w:lang w:val="en-US" w:eastAsia="zh-CN"/>
              </w:rPr>
              <w:t>处置</w:t>
            </w:r>
            <w:r>
              <w:rPr>
                <w:rFonts w:hint="default"/>
                <w:color w:val="auto"/>
                <w:sz w:val="24"/>
                <w:szCs w:val="20"/>
                <w:lang w:val="en-US" w:eastAsia="zh-CN"/>
              </w:rPr>
              <w:t>设施</w:t>
            </w:r>
          </w:p>
        </w:tc>
        <w:tc>
          <w:tcPr>
            <w:tcW w:w="3484" w:type="pct"/>
            <w:vAlign w:val="center"/>
          </w:tcPr>
          <w:p w14:paraId="4DCC0606">
            <w:pPr>
              <w:widowControl w:val="0"/>
              <w:bidi w:val="0"/>
              <w:ind w:left="0" w:leftChars="0" w:firstLine="0" w:firstLineChars="0"/>
              <w:jc w:val="center"/>
              <w:rPr>
                <w:rFonts w:hint="default"/>
                <w:color w:val="auto"/>
                <w:sz w:val="24"/>
                <w:szCs w:val="20"/>
                <w:lang w:val="en-US" w:eastAsia="zh-CN"/>
              </w:rPr>
            </w:pPr>
            <w:r>
              <w:rPr>
                <w:rFonts w:hint="default"/>
                <w:color w:val="auto"/>
                <w:sz w:val="24"/>
                <w:szCs w:val="20"/>
                <w:lang w:val="en-US" w:eastAsia="zh-CN"/>
              </w:rPr>
              <w:t>建筑垃圾堆填场、建筑垃圾</w:t>
            </w:r>
            <w:r>
              <w:rPr>
                <w:rFonts w:hint="eastAsia"/>
                <w:color w:val="auto"/>
                <w:sz w:val="24"/>
                <w:szCs w:val="20"/>
                <w:lang w:val="en-US" w:eastAsia="zh-CN"/>
              </w:rPr>
              <w:t>填埋</w:t>
            </w:r>
            <w:r>
              <w:rPr>
                <w:rFonts w:hint="default"/>
                <w:color w:val="auto"/>
                <w:sz w:val="24"/>
                <w:szCs w:val="20"/>
                <w:lang w:val="en-US" w:eastAsia="zh-CN"/>
              </w:rPr>
              <w:t>场</w:t>
            </w:r>
          </w:p>
        </w:tc>
      </w:tr>
    </w:tbl>
    <w:p w14:paraId="2C0CF370">
      <w:pPr>
        <w:bidi w:val="0"/>
        <w:ind w:left="0" w:leftChars="0" w:firstLine="0" w:firstLineChars="0"/>
        <w:rPr>
          <w:rFonts w:hint="eastAsia"/>
          <w:color w:val="auto"/>
          <w:sz w:val="11"/>
          <w:szCs w:val="8"/>
          <w:highlight w:val="yellow"/>
          <w:lang w:val="en-US" w:eastAsia="zh-CN"/>
        </w:rPr>
      </w:pPr>
    </w:p>
    <w:p w14:paraId="109FF5C9">
      <w:pPr>
        <w:bidi w:val="0"/>
        <w:rPr>
          <w:rFonts w:hint="default"/>
          <w:b/>
          <w:bCs/>
          <w:color w:val="auto"/>
          <w:highlight w:val="none"/>
          <w:lang w:val="en-US" w:eastAsia="zh-CN"/>
        </w:rPr>
      </w:pPr>
      <w:r>
        <w:rPr>
          <w:rFonts w:hint="default"/>
          <w:b/>
          <w:bCs/>
          <w:color w:val="auto"/>
          <w:highlight w:val="none"/>
          <w:lang w:val="en-US" w:eastAsia="zh-CN"/>
        </w:rPr>
        <w:t>规划</w:t>
      </w:r>
      <w:r>
        <w:rPr>
          <w:rFonts w:hint="eastAsia"/>
          <w:b/>
          <w:bCs/>
          <w:color w:val="auto"/>
          <w:highlight w:val="none"/>
          <w:lang w:val="en-US" w:eastAsia="zh-CN"/>
        </w:rPr>
        <w:t>本溪市</w:t>
      </w:r>
      <w:r>
        <w:rPr>
          <w:rFonts w:hint="default"/>
          <w:b/>
          <w:bCs/>
          <w:color w:val="auto"/>
          <w:highlight w:val="none"/>
          <w:lang w:val="en-US" w:eastAsia="zh-CN"/>
        </w:rPr>
        <w:t>建筑垃圾处理流程如下</w:t>
      </w:r>
      <w:r>
        <w:rPr>
          <w:rFonts w:hint="eastAsia"/>
          <w:b/>
          <w:bCs/>
          <w:color w:val="auto"/>
          <w:highlight w:val="none"/>
          <w:lang w:val="en-US" w:eastAsia="zh-CN"/>
        </w:rPr>
        <w:t>：</w:t>
      </w:r>
    </w:p>
    <w:p w14:paraId="5F5E2636">
      <w:pPr>
        <w:bidi w:val="0"/>
        <w:rPr>
          <w:rFonts w:hint="eastAsia"/>
          <w:b w:val="0"/>
          <w:bCs w:val="0"/>
          <w:color w:val="auto"/>
          <w:highlight w:val="none"/>
          <w:lang w:val="en-US" w:eastAsia="zh-CN"/>
        </w:rPr>
      </w:pPr>
      <w:r>
        <w:rPr>
          <w:rFonts w:hint="default"/>
          <w:b w:val="0"/>
          <w:bCs w:val="0"/>
          <w:color w:val="auto"/>
          <w:highlight w:val="none"/>
          <w:lang w:val="en-US" w:eastAsia="zh-CN"/>
        </w:rPr>
        <w:t>建筑</w:t>
      </w:r>
      <w:r>
        <w:rPr>
          <w:rFonts w:hint="eastAsia"/>
          <w:b w:val="0"/>
          <w:bCs w:val="0"/>
          <w:color w:val="auto"/>
          <w:highlight w:val="none"/>
          <w:lang w:val="en-US" w:eastAsia="zh-CN"/>
        </w:rPr>
        <w:t>垃圾分类</w:t>
      </w:r>
      <w:r>
        <w:rPr>
          <w:rFonts w:hint="default"/>
          <w:b w:val="0"/>
          <w:bCs w:val="0"/>
          <w:color w:val="auto"/>
          <w:highlight w:val="none"/>
          <w:lang w:val="en-US" w:eastAsia="zh-CN"/>
        </w:rPr>
        <w:t>主要包括工程渣土、工程泥浆、工程垃圾、拆除垃圾和装修垃圾5大</w:t>
      </w:r>
      <w:r>
        <w:rPr>
          <w:rFonts w:hint="eastAsia"/>
          <w:b w:val="0"/>
          <w:bCs w:val="0"/>
          <w:color w:val="auto"/>
          <w:highlight w:val="none"/>
          <w:lang w:val="en-US" w:eastAsia="zh-CN"/>
        </w:rPr>
        <w:t>类</w:t>
      </w:r>
      <w:r>
        <w:rPr>
          <w:rFonts w:hint="default"/>
          <w:b w:val="0"/>
          <w:bCs w:val="0"/>
          <w:color w:val="auto"/>
          <w:highlight w:val="none"/>
          <w:lang w:val="en-US" w:eastAsia="zh-CN"/>
        </w:rPr>
        <w:t>。在建筑垃圾产生环节，通过对不同类别建筑垃圾的源头减量控制，经产生量削减后的建筑垃圾进入分类与收运环节。其中，工程渣土</w:t>
      </w:r>
      <w:r>
        <w:rPr>
          <w:rFonts w:hint="eastAsia"/>
          <w:b w:val="0"/>
          <w:bCs w:val="0"/>
          <w:color w:val="auto"/>
          <w:highlight w:val="none"/>
          <w:lang w:val="en-US" w:eastAsia="zh-CN"/>
        </w:rPr>
        <w:t>及泥浆通过区域土方调配进行利用，剩余部分运往综合利用中心或转运调配场暂存等待利用；</w:t>
      </w:r>
      <w:r>
        <w:rPr>
          <w:rFonts w:hint="default"/>
          <w:b w:val="0"/>
          <w:bCs w:val="0"/>
          <w:color w:val="auto"/>
          <w:highlight w:val="none"/>
          <w:lang w:val="en-US" w:eastAsia="zh-CN"/>
        </w:rPr>
        <w:t>拆除垃圾与工程垃圾</w:t>
      </w:r>
      <w:r>
        <w:rPr>
          <w:rFonts w:hint="eastAsia"/>
          <w:b w:val="0"/>
          <w:bCs w:val="0"/>
          <w:color w:val="auto"/>
          <w:highlight w:val="none"/>
          <w:lang w:val="en-US" w:eastAsia="zh-CN"/>
        </w:rPr>
        <w:t>优先</w:t>
      </w:r>
      <w:r>
        <w:rPr>
          <w:rFonts w:hint="default"/>
          <w:b w:val="0"/>
          <w:bCs w:val="0"/>
          <w:color w:val="auto"/>
          <w:highlight w:val="none"/>
          <w:lang w:val="en-US" w:eastAsia="zh-CN"/>
        </w:rPr>
        <w:t>在拆迁或施工现场进行</w:t>
      </w:r>
      <w:r>
        <w:rPr>
          <w:rFonts w:hint="eastAsia"/>
          <w:b w:val="0"/>
          <w:bCs w:val="0"/>
          <w:color w:val="auto"/>
          <w:highlight w:val="none"/>
          <w:lang w:val="en-US" w:eastAsia="zh-CN"/>
        </w:rPr>
        <w:t>资源化</w:t>
      </w:r>
      <w:r>
        <w:rPr>
          <w:rFonts w:hint="default"/>
          <w:b w:val="0"/>
          <w:bCs w:val="0"/>
          <w:color w:val="auto"/>
          <w:highlight w:val="none"/>
          <w:lang w:val="en-US" w:eastAsia="zh-CN"/>
        </w:rPr>
        <w:t>处理，</w:t>
      </w:r>
      <w:r>
        <w:rPr>
          <w:rFonts w:hint="eastAsia"/>
          <w:b w:val="0"/>
          <w:bCs w:val="0"/>
          <w:color w:val="auto"/>
          <w:highlight w:val="none"/>
          <w:lang w:val="en-US" w:eastAsia="zh-CN"/>
        </w:rPr>
        <w:t>剩余</w:t>
      </w:r>
      <w:r>
        <w:rPr>
          <w:rFonts w:hint="default"/>
          <w:b w:val="0"/>
          <w:bCs w:val="0"/>
          <w:color w:val="auto"/>
          <w:highlight w:val="none"/>
          <w:lang w:val="en-US" w:eastAsia="zh-CN"/>
        </w:rPr>
        <w:t>部分</w:t>
      </w:r>
      <w:r>
        <w:rPr>
          <w:rFonts w:hint="eastAsia"/>
          <w:b w:val="0"/>
          <w:bCs w:val="0"/>
          <w:color w:val="auto"/>
          <w:highlight w:val="none"/>
          <w:lang w:val="en-US" w:eastAsia="zh-CN"/>
        </w:rPr>
        <w:t>运往建筑垃圾综合中心</w:t>
      </w:r>
      <w:r>
        <w:rPr>
          <w:rFonts w:hint="default"/>
          <w:b w:val="0"/>
          <w:bCs w:val="0"/>
          <w:color w:val="auto"/>
          <w:highlight w:val="none"/>
          <w:lang w:val="en-US" w:eastAsia="zh-CN"/>
        </w:rPr>
        <w:t>进行</w:t>
      </w:r>
      <w:r>
        <w:rPr>
          <w:rFonts w:hint="eastAsia"/>
          <w:b w:val="0"/>
          <w:bCs w:val="0"/>
          <w:color w:val="auto"/>
          <w:highlight w:val="none"/>
          <w:lang w:val="en-US" w:eastAsia="zh-CN"/>
        </w:rPr>
        <w:t>资源化处理或运往转运调配场暂存等待利用</w:t>
      </w:r>
      <w:r>
        <w:rPr>
          <w:rFonts w:hint="default"/>
          <w:b w:val="0"/>
          <w:bCs w:val="0"/>
          <w:color w:val="auto"/>
          <w:highlight w:val="none"/>
          <w:lang w:val="en-US" w:eastAsia="zh-CN"/>
        </w:rPr>
        <w:t>。</w:t>
      </w:r>
      <w:r>
        <w:rPr>
          <w:rFonts w:hint="eastAsia"/>
          <w:b w:val="0"/>
          <w:bCs w:val="0"/>
          <w:color w:val="auto"/>
          <w:highlight w:val="none"/>
          <w:lang w:val="en-US" w:eastAsia="zh-CN"/>
        </w:rPr>
        <w:t>装修垃圾应运往建筑垃圾综合中心进行资源化处理。</w:t>
      </w:r>
    </w:p>
    <w:p w14:paraId="50B5FAAB">
      <w:pPr>
        <w:bidi w:val="0"/>
        <w:rPr>
          <w:rFonts w:hint="default"/>
          <w:color w:val="auto"/>
          <w:lang w:val="en-US" w:eastAsia="zh-CN"/>
        </w:rPr>
      </w:pPr>
      <w:r>
        <w:rPr>
          <w:rFonts w:hint="default"/>
          <w:b w:val="0"/>
          <w:bCs w:val="0"/>
          <w:color w:val="auto"/>
          <w:highlight w:val="none"/>
          <w:lang w:val="en-US" w:eastAsia="zh-CN"/>
        </w:rPr>
        <w:t>经过回收利用后产生的固体废物运往</w:t>
      </w:r>
      <w:r>
        <w:rPr>
          <w:rFonts w:hint="eastAsia"/>
          <w:b w:val="0"/>
          <w:bCs w:val="0"/>
          <w:color w:val="auto"/>
          <w:highlight w:val="none"/>
          <w:lang w:val="en-US" w:eastAsia="zh-CN"/>
        </w:rPr>
        <w:t>本市彩北建筑垃圾</w:t>
      </w:r>
      <w:r>
        <w:rPr>
          <w:rFonts w:hint="default"/>
          <w:b w:val="0"/>
          <w:bCs w:val="0"/>
          <w:color w:val="auto"/>
          <w:highlight w:val="none"/>
          <w:lang w:val="en-US" w:eastAsia="zh-CN"/>
        </w:rPr>
        <w:t>填埋场填埋处理，轻物质等可焚烧的固体废物运往焚烧厂焚烧处理。</w:t>
      </w:r>
    </w:p>
    <w:p w14:paraId="7B3873D6">
      <w:pPr>
        <w:bidi w:val="0"/>
        <w:rPr>
          <w:rFonts w:hint="default"/>
          <w:color w:val="auto"/>
          <w:highlight w:val="yellow"/>
          <w:lang w:val="en-US" w:eastAsia="zh-CN"/>
        </w:rPr>
      </w:pPr>
      <w:r>
        <w:rPr>
          <w:rFonts w:hint="default"/>
          <w:color w:val="auto"/>
          <w:highlight w:val="none"/>
          <w:lang w:val="en-US" w:eastAsia="zh-CN"/>
        </w:rPr>
        <w:t>具体处理模式详见下图</w:t>
      </w:r>
      <w:r>
        <w:rPr>
          <w:rFonts w:hint="eastAsia"/>
          <w:color w:val="auto"/>
          <w:highlight w:val="none"/>
          <w:lang w:val="en-US" w:eastAsia="zh-CN"/>
        </w:rPr>
        <w:t>：</w:t>
      </w:r>
    </w:p>
    <w:p w14:paraId="572166F0">
      <w:pPr>
        <w:bidi w:val="0"/>
        <w:ind w:left="0" w:leftChars="0" w:firstLine="0" w:firstLineChars="0"/>
        <w:jc w:val="center"/>
        <w:rPr>
          <w:rFonts w:hint="default"/>
          <w:color w:val="auto"/>
          <w:highlight w:val="none"/>
          <w:lang w:val="en-US" w:eastAsia="zh-CN"/>
        </w:rPr>
      </w:pPr>
      <w:r>
        <w:rPr>
          <w:rFonts w:hint="default"/>
          <w:color w:val="auto"/>
          <w:highlight w:val="none"/>
          <w:lang w:val="en-US" w:eastAsia="zh-CN"/>
        </w:rPr>
        <w:drawing>
          <wp:inline distT="0" distB="0" distL="114300" distR="114300">
            <wp:extent cx="5534025" cy="5544185"/>
            <wp:effectExtent l="0" t="0" r="9525" b="18415"/>
            <wp:docPr id="1" name="图片 1" descr="绘图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绘图12"/>
                    <pic:cNvPicPr>
                      <a:picLocks noChangeAspect="1"/>
                    </pic:cNvPicPr>
                  </pic:nvPicPr>
                  <pic:blipFill>
                    <a:blip r:embed="rId16"/>
                    <a:stretch>
                      <a:fillRect/>
                    </a:stretch>
                  </pic:blipFill>
                  <pic:spPr>
                    <a:xfrm>
                      <a:off x="0" y="0"/>
                      <a:ext cx="5534025" cy="5544185"/>
                    </a:xfrm>
                    <a:prstGeom prst="rect">
                      <a:avLst/>
                    </a:prstGeom>
                  </pic:spPr>
                </pic:pic>
              </a:graphicData>
            </a:graphic>
          </wp:inline>
        </w:drawing>
      </w:r>
    </w:p>
    <w:p w14:paraId="29A552F1">
      <w:pPr>
        <w:bidi w:val="0"/>
        <w:ind w:left="0" w:leftChars="0" w:firstLine="0" w:firstLineChars="0"/>
        <w:jc w:val="center"/>
        <w:rPr>
          <w:rFonts w:hint="default"/>
          <w:b/>
          <w:bCs/>
          <w:color w:val="auto"/>
          <w:sz w:val="24"/>
          <w:szCs w:val="20"/>
          <w:highlight w:val="none"/>
          <w:lang w:val="en-US" w:eastAsia="zh-CN"/>
        </w:rPr>
      </w:pPr>
      <w:r>
        <w:rPr>
          <w:rFonts w:hint="eastAsia"/>
          <w:b/>
          <w:bCs/>
          <w:color w:val="auto"/>
          <w:sz w:val="24"/>
          <w:szCs w:val="20"/>
          <w:highlight w:val="none"/>
          <w:lang w:val="en-US" w:eastAsia="zh-CN"/>
        </w:rPr>
        <w:t>图7.1-1 本溪市建筑垃圾处理模式示意图</w:t>
      </w:r>
    </w:p>
    <w:p w14:paraId="01E13D5A">
      <w:pPr>
        <w:pStyle w:val="3"/>
        <w:bidi w:val="0"/>
        <w:rPr>
          <w:rFonts w:hint="eastAsia"/>
          <w:color w:val="auto"/>
          <w:lang w:val="en-US" w:eastAsia="zh-CN"/>
        </w:rPr>
      </w:pPr>
      <w:bookmarkStart w:id="75" w:name="_Toc20816"/>
      <w:r>
        <w:rPr>
          <w:rFonts w:hint="eastAsia"/>
          <w:color w:val="auto"/>
          <w:lang w:val="en-US" w:eastAsia="zh-CN"/>
        </w:rPr>
        <w:t>7.2 建筑垃圾利用规划</w:t>
      </w:r>
      <w:bookmarkEnd w:id="75"/>
    </w:p>
    <w:p w14:paraId="2E13A122">
      <w:pPr>
        <w:bidi w:val="0"/>
        <w:rPr>
          <w:rFonts w:hint="default"/>
          <w:color w:val="auto"/>
          <w:highlight w:val="none"/>
          <w:lang w:val="en-US" w:eastAsia="zh-CN"/>
        </w:rPr>
      </w:pPr>
      <w:r>
        <w:rPr>
          <w:rFonts w:hint="default"/>
          <w:color w:val="auto"/>
          <w:highlight w:val="none"/>
          <w:lang w:val="en-US" w:eastAsia="zh-CN"/>
        </w:rPr>
        <w:t>建筑垃圾综合利用主要分为直接利用和资源化再生利用两种模式。其中，直接利用包括分选处理、一般性回填等，资源化再生利用则指加工成骨料、生产新型墙体材料、还原成水泥、沥青等再利用。</w:t>
      </w:r>
    </w:p>
    <w:p w14:paraId="42552C47">
      <w:pPr>
        <w:bidi w:val="0"/>
        <w:ind w:left="0" w:leftChars="0" w:firstLine="560" w:firstLineChars="200"/>
        <w:jc w:val="left"/>
        <w:rPr>
          <w:rFonts w:hint="eastAsia"/>
          <w:color w:val="auto"/>
          <w:highlight w:val="none"/>
          <w:lang w:val="en-US" w:eastAsia="zh-CN"/>
        </w:rPr>
      </w:pPr>
      <w:r>
        <w:rPr>
          <w:rFonts w:hint="default"/>
          <w:color w:val="auto"/>
          <w:highlight w:val="none"/>
          <w:lang w:val="en-US" w:eastAsia="zh-CN"/>
        </w:rPr>
        <w:t>规划引导建筑垃圾在源头减量的基础上优先考虑资源化利用处理及利用优先次序宜按下表确定</w:t>
      </w:r>
      <w:r>
        <w:rPr>
          <w:rFonts w:hint="eastAsia"/>
          <w:color w:val="auto"/>
          <w:highlight w:val="none"/>
          <w:lang w:val="en-US" w:eastAsia="zh-CN"/>
        </w:rPr>
        <w:t>：</w:t>
      </w:r>
    </w:p>
    <w:p w14:paraId="3AE54A96">
      <w:pPr>
        <w:bidi w:val="0"/>
        <w:ind w:left="0" w:leftChars="0" w:firstLine="0" w:firstLineChars="0"/>
        <w:jc w:val="center"/>
        <w:rPr>
          <w:rFonts w:hint="eastAsia"/>
          <w:color w:val="auto"/>
          <w:sz w:val="24"/>
          <w:szCs w:val="20"/>
          <w:lang w:val="en-US" w:eastAsia="zh-CN"/>
        </w:rPr>
      </w:pPr>
      <w:r>
        <w:rPr>
          <w:rFonts w:hint="eastAsia" w:ascii="Times New Roman" w:eastAsia="宋体"/>
          <w:b/>
          <w:bCs/>
          <w:color w:val="auto"/>
          <w:sz w:val="24"/>
          <w:szCs w:val="20"/>
          <w:highlight w:val="none"/>
          <w:lang w:val="en-US" w:eastAsia="zh-CN"/>
        </w:rPr>
        <w:t>表</w:t>
      </w:r>
      <w:r>
        <w:rPr>
          <w:rFonts w:hint="eastAsia"/>
          <w:b/>
          <w:bCs/>
          <w:color w:val="auto"/>
          <w:sz w:val="24"/>
          <w:szCs w:val="20"/>
          <w:highlight w:val="none"/>
          <w:lang w:val="en-US" w:eastAsia="zh-CN"/>
        </w:rPr>
        <w:t>7</w:t>
      </w:r>
      <w:r>
        <w:rPr>
          <w:rFonts w:hint="eastAsia" w:ascii="Times New Roman" w:eastAsia="宋体"/>
          <w:b/>
          <w:bCs/>
          <w:color w:val="auto"/>
          <w:sz w:val="24"/>
          <w:szCs w:val="20"/>
          <w:highlight w:val="none"/>
          <w:lang w:val="en-US" w:eastAsia="zh-CN"/>
        </w:rPr>
        <w:t>.2-1 建筑垃圾处理及利用优先次序</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2616"/>
        <w:gridCol w:w="5123"/>
      </w:tblGrid>
      <w:tr w14:paraId="5CAC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2" w:type="dxa"/>
            <w:gridSpan w:val="2"/>
            <w:vAlign w:val="center"/>
          </w:tcPr>
          <w:p w14:paraId="154CADA5">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类型</w:t>
            </w:r>
          </w:p>
        </w:tc>
        <w:tc>
          <w:tcPr>
            <w:tcW w:w="5123" w:type="dxa"/>
            <w:vAlign w:val="center"/>
          </w:tcPr>
          <w:p w14:paraId="459E43CD">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处理及利用优先次序</w:t>
            </w:r>
          </w:p>
        </w:tc>
      </w:tr>
      <w:tr w14:paraId="0A16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vMerge w:val="restart"/>
            <w:vAlign w:val="center"/>
          </w:tcPr>
          <w:p w14:paraId="730AA89F">
            <w:pPr>
              <w:widowControl w:val="0"/>
              <w:bidi w:val="0"/>
              <w:ind w:left="0" w:leftChars="0" w:firstLine="0" w:firstLineChars="0"/>
              <w:jc w:val="center"/>
              <w:rPr>
                <w:rFonts w:hint="default" w:ascii="Times New Roman" w:eastAsia="宋体"/>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建筑垃圾</w:t>
            </w:r>
          </w:p>
        </w:tc>
        <w:tc>
          <w:tcPr>
            <w:tcW w:w="2616" w:type="dxa"/>
            <w:vAlign w:val="center"/>
          </w:tcPr>
          <w:p w14:paraId="75C3B613">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工程渣土、工程泥浆</w:t>
            </w:r>
          </w:p>
        </w:tc>
        <w:tc>
          <w:tcPr>
            <w:tcW w:w="5123" w:type="dxa"/>
            <w:vAlign w:val="center"/>
          </w:tcPr>
          <w:p w14:paraId="7003C2E3">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资源化利用</w:t>
            </w:r>
            <w:r>
              <w:rPr>
                <w:rFonts w:hint="eastAsia"/>
                <w:color w:val="auto"/>
                <w:sz w:val="24"/>
                <w:szCs w:val="20"/>
                <w:highlight w:val="none"/>
                <w:vertAlign w:val="baseline"/>
                <w:lang w:val="en-US" w:eastAsia="zh-CN"/>
              </w:rPr>
              <w:t>（直接利用）</w:t>
            </w:r>
            <w:r>
              <w:rPr>
                <w:rFonts w:hint="eastAsia" w:ascii="Times New Roman" w:eastAsia="宋体"/>
                <w:color w:val="auto"/>
                <w:sz w:val="24"/>
                <w:szCs w:val="20"/>
                <w:highlight w:val="none"/>
                <w:vertAlign w:val="baseline"/>
                <w:lang w:val="en-US" w:eastAsia="zh-CN"/>
              </w:rPr>
              <w:t>；堆填；作为生活垃圾填埋场覆盖用土；填埋处置</w:t>
            </w:r>
          </w:p>
        </w:tc>
      </w:tr>
      <w:tr w14:paraId="1C11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vMerge w:val="continue"/>
            <w:vAlign w:val="center"/>
          </w:tcPr>
          <w:p w14:paraId="780739E0">
            <w:pPr>
              <w:widowControl w:val="0"/>
              <w:bidi w:val="0"/>
              <w:ind w:left="0" w:leftChars="0" w:firstLine="0" w:firstLineChars="0"/>
              <w:jc w:val="center"/>
              <w:rPr>
                <w:rFonts w:hint="eastAsia" w:ascii="Times New Roman" w:eastAsia="宋体"/>
                <w:color w:val="auto"/>
                <w:sz w:val="24"/>
                <w:szCs w:val="20"/>
                <w:highlight w:val="none"/>
                <w:vertAlign w:val="baseline"/>
                <w:lang w:val="en-US" w:eastAsia="zh-CN"/>
              </w:rPr>
            </w:pPr>
          </w:p>
        </w:tc>
        <w:tc>
          <w:tcPr>
            <w:tcW w:w="2616" w:type="dxa"/>
            <w:vAlign w:val="center"/>
          </w:tcPr>
          <w:p w14:paraId="1C05BFB7">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工程垃圾、拆除垃圾</w:t>
            </w:r>
          </w:p>
        </w:tc>
        <w:tc>
          <w:tcPr>
            <w:tcW w:w="5123" w:type="dxa"/>
            <w:vAlign w:val="center"/>
          </w:tcPr>
          <w:p w14:paraId="33377C9A">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资源化利用；堆填；填埋处置</w:t>
            </w:r>
          </w:p>
        </w:tc>
      </w:tr>
      <w:tr w14:paraId="5121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vMerge w:val="continue"/>
            <w:vAlign w:val="center"/>
          </w:tcPr>
          <w:p w14:paraId="540AD4CF">
            <w:pPr>
              <w:widowControl w:val="0"/>
              <w:bidi w:val="0"/>
              <w:ind w:left="0" w:leftChars="0" w:firstLine="0" w:firstLineChars="0"/>
              <w:jc w:val="center"/>
              <w:rPr>
                <w:rFonts w:hint="eastAsia" w:ascii="Times New Roman" w:eastAsia="宋体"/>
                <w:color w:val="auto"/>
                <w:sz w:val="24"/>
                <w:szCs w:val="20"/>
                <w:highlight w:val="none"/>
                <w:vertAlign w:val="baseline"/>
                <w:lang w:val="en-US" w:eastAsia="zh-CN"/>
              </w:rPr>
            </w:pPr>
          </w:p>
        </w:tc>
        <w:tc>
          <w:tcPr>
            <w:tcW w:w="2616" w:type="dxa"/>
            <w:vAlign w:val="center"/>
          </w:tcPr>
          <w:p w14:paraId="07609EE6">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装修垃圾</w:t>
            </w:r>
          </w:p>
        </w:tc>
        <w:tc>
          <w:tcPr>
            <w:tcW w:w="5123" w:type="dxa"/>
            <w:vAlign w:val="center"/>
          </w:tcPr>
          <w:p w14:paraId="3CE0877B">
            <w:pPr>
              <w:widowControl w:val="0"/>
              <w:bidi w:val="0"/>
              <w:ind w:left="0" w:leftChars="0" w:firstLine="0" w:firstLineChars="0"/>
              <w:jc w:val="center"/>
              <w:rPr>
                <w:rFonts w:hint="default"/>
                <w:color w:val="auto"/>
                <w:sz w:val="24"/>
                <w:szCs w:val="20"/>
                <w:highlight w:val="none"/>
                <w:vertAlign w:val="baseline"/>
                <w:lang w:val="en-US" w:eastAsia="zh-CN"/>
              </w:rPr>
            </w:pPr>
            <w:r>
              <w:rPr>
                <w:rFonts w:hint="eastAsia" w:ascii="Times New Roman" w:eastAsia="宋体"/>
                <w:color w:val="auto"/>
                <w:sz w:val="24"/>
                <w:szCs w:val="20"/>
                <w:highlight w:val="none"/>
                <w:vertAlign w:val="baseline"/>
                <w:lang w:val="en-US" w:eastAsia="zh-CN"/>
              </w:rPr>
              <w:t>资源化利用；填埋处置</w:t>
            </w:r>
          </w:p>
        </w:tc>
      </w:tr>
    </w:tbl>
    <w:p w14:paraId="632DCE6D">
      <w:pPr>
        <w:bidi w:val="0"/>
        <w:rPr>
          <w:rFonts w:hint="default"/>
          <w:color w:val="auto"/>
          <w:sz w:val="13"/>
          <w:szCs w:val="8"/>
          <w:highlight w:val="none"/>
          <w:lang w:val="en-US" w:eastAsia="zh-CN"/>
        </w:rPr>
      </w:pPr>
    </w:p>
    <w:p w14:paraId="2AC12C66">
      <w:pPr>
        <w:pStyle w:val="4"/>
        <w:bidi w:val="0"/>
        <w:rPr>
          <w:rFonts w:hint="eastAsia"/>
          <w:color w:val="auto"/>
          <w:lang w:val="en-US" w:eastAsia="zh-CN"/>
        </w:rPr>
      </w:pPr>
      <w:bookmarkStart w:id="76" w:name="_Toc1888"/>
      <w:r>
        <w:rPr>
          <w:rFonts w:hint="eastAsia"/>
          <w:color w:val="auto"/>
          <w:lang w:val="en-US" w:eastAsia="zh-CN"/>
        </w:rPr>
        <w:t>7.2.1 建筑垃圾直接利用</w:t>
      </w:r>
      <w:bookmarkEnd w:id="76"/>
    </w:p>
    <w:p w14:paraId="1E3DCADD">
      <w:pPr>
        <w:bidi w:val="0"/>
        <w:rPr>
          <w:rFonts w:hint="default"/>
          <w:b w:val="0"/>
          <w:bCs w:val="0"/>
          <w:color w:val="auto"/>
          <w:lang w:val="en-US" w:eastAsia="zh-CN"/>
        </w:rPr>
      </w:pPr>
      <w:r>
        <w:rPr>
          <w:rFonts w:hint="eastAsia"/>
          <w:b w:val="0"/>
          <w:bCs w:val="0"/>
          <w:color w:val="auto"/>
          <w:lang w:val="en-US" w:eastAsia="zh-CN"/>
        </w:rPr>
        <w:t>（1）</w:t>
      </w:r>
      <w:r>
        <w:rPr>
          <w:rFonts w:hint="default"/>
          <w:b w:val="0"/>
          <w:bCs w:val="0"/>
          <w:color w:val="auto"/>
          <w:lang w:val="en-US" w:eastAsia="zh-CN"/>
        </w:rPr>
        <w:t>工程渣土的直接利用</w:t>
      </w:r>
    </w:p>
    <w:p w14:paraId="30942AB3">
      <w:pPr>
        <w:bidi w:val="0"/>
        <w:rPr>
          <w:rFonts w:hint="default"/>
          <w:color w:val="auto"/>
          <w:lang w:val="en-US" w:eastAsia="zh-CN"/>
        </w:rPr>
      </w:pPr>
      <w:r>
        <w:rPr>
          <w:rFonts w:hint="default"/>
          <w:color w:val="auto"/>
          <w:lang w:val="en-US" w:eastAsia="zh-CN"/>
        </w:rPr>
        <w:t>工程渣土的利用的主要方式有</w:t>
      </w:r>
      <w:r>
        <w:rPr>
          <w:rFonts w:hint="eastAsia"/>
          <w:color w:val="auto"/>
          <w:lang w:val="en-US" w:eastAsia="zh-CN"/>
        </w:rPr>
        <w:t>：</w:t>
      </w:r>
      <w:r>
        <w:rPr>
          <w:rFonts w:hint="default"/>
          <w:color w:val="auto"/>
          <w:lang w:val="en-US" w:eastAsia="zh-CN"/>
        </w:rPr>
        <w:t>堆土造景、采石场/山体复绿、复垦耕地、公路路基等。</w:t>
      </w:r>
    </w:p>
    <w:p w14:paraId="1989E3E7">
      <w:pPr>
        <w:bidi w:val="0"/>
        <w:rPr>
          <w:rFonts w:hint="eastAsia"/>
          <w:color w:val="auto"/>
          <w:lang w:val="en-US" w:eastAsia="zh-CN"/>
        </w:rPr>
      </w:pPr>
      <w:r>
        <w:rPr>
          <w:rFonts w:hint="eastAsia"/>
          <w:color w:val="auto"/>
          <w:lang w:val="en-US" w:eastAsia="zh-CN"/>
        </w:rPr>
        <w:t>①堆土造景：采用堆坡造景方式，如道路旁防护绿地以30°斜坡堆起，则可以使得绿化面积增加约15%，而将坡做成弧形，则增加更多面积。同时在现代都市中，基本会以种植草坪、矮灌木、高大乔木的方式逐步递进，以强调城市景观绿化层次感，而在斜坡或是弧形坡面上种植多层次植物，空间则更为立体，景观造型更为丰富。</w:t>
      </w:r>
    </w:p>
    <w:p w14:paraId="18F54F03">
      <w:pPr>
        <w:bidi w:val="0"/>
        <w:rPr>
          <w:rFonts w:hint="eastAsia"/>
          <w:color w:val="auto"/>
          <w:lang w:val="en-US" w:eastAsia="zh-CN"/>
        </w:rPr>
      </w:pPr>
      <w:r>
        <w:rPr>
          <w:rFonts w:hint="eastAsia"/>
          <w:color w:val="auto"/>
          <w:lang w:val="en-US" w:eastAsia="zh-CN"/>
        </w:rPr>
        <w:t>②采石场/山体复绿：工程渣土作为采石场、破坏山体的堆土复绿，用于生态恢复。根据采石区域的高度、坡度等三维空间特征，通过垂直绿化、分层台地式覆土种植、缓坡地直接覆土种植等方式恢复被破坏自然生态面貌。</w:t>
      </w:r>
    </w:p>
    <w:p w14:paraId="6847FD8F">
      <w:pPr>
        <w:bidi w:val="0"/>
        <w:rPr>
          <w:rFonts w:hint="eastAsia"/>
          <w:color w:val="auto"/>
          <w:lang w:val="en-US" w:eastAsia="zh-CN"/>
        </w:rPr>
      </w:pPr>
      <w:r>
        <w:rPr>
          <w:rFonts w:hint="eastAsia"/>
          <w:color w:val="auto"/>
          <w:lang w:val="en-US" w:eastAsia="zh-CN"/>
        </w:rPr>
        <w:t>③耕地复垦：工程渣土大多为有机质很少的生土，但非化工厂等污染地块挖出的工程渣土一般受污染程度较低或无污染。其后可经过加工加入腐殖质，如秸秆腐烂后混入其中，使城市弃土成为富含有机质的泥土。把经过处理的城市弃土运到农村用于耕地复垦，或者低洼低产农田的改造或耕地复垦。</w:t>
      </w:r>
    </w:p>
    <w:p w14:paraId="10AC17D4">
      <w:pPr>
        <w:bidi w:val="0"/>
        <w:rPr>
          <w:rFonts w:hint="eastAsia"/>
          <w:color w:val="auto"/>
          <w:lang w:val="en-US" w:eastAsia="zh-CN"/>
        </w:rPr>
      </w:pPr>
      <w:r>
        <w:rPr>
          <w:rFonts w:hint="eastAsia"/>
          <w:color w:val="auto"/>
          <w:lang w:val="en-US" w:eastAsia="zh-CN"/>
        </w:rPr>
        <w:t>④公路路基：工程渣土可作为公路路基的垫层材料使用。</w:t>
      </w:r>
    </w:p>
    <w:p w14:paraId="08EF3161">
      <w:pPr>
        <w:bidi w:val="0"/>
        <w:rPr>
          <w:rFonts w:hint="eastAsia"/>
          <w:color w:val="auto"/>
          <w:lang w:val="en-US" w:eastAsia="zh-CN"/>
        </w:rPr>
      </w:pPr>
      <w:r>
        <w:rPr>
          <w:rFonts w:hint="eastAsia"/>
          <w:color w:val="auto"/>
          <w:lang w:val="en-US" w:eastAsia="zh-CN"/>
        </w:rPr>
        <w:t>⑤工程回填：作为工程所需的回填材料进行回填利用。</w:t>
      </w:r>
    </w:p>
    <w:p w14:paraId="58607CCB">
      <w:pPr>
        <w:bidi w:val="0"/>
        <w:rPr>
          <w:rFonts w:hint="eastAsia"/>
          <w:color w:val="auto"/>
          <w:lang w:val="en-US" w:eastAsia="zh-CN"/>
        </w:rPr>
      </w:pPr>
      <w:r>
        <w:rPr>
          <w:rFonts w:hint="eastAsia"/>
          <w:color w:val="auto"/>
          <w:lang w:val="en-US" w:eastAsia="zh-CN"/>
        </w:rPr>
        <w:t>⑥垃圾填埋场覆土：工程渣土还可作为生活垃圾填埋场的间层覆土，也可作为生活垃圾填埋场、建筑垃圾填埋场和临时消纳场封场和生态恢复的覆土进行利用。</w:t>
      </w:r>
    </w:p>
    <w:p w14:paraId="7C32DC74">
      <w:pPr>
        <w:bidi w:val="0"/>
        <w:rPr>
          <w:rFonts w:hint="eastAsia"/>
          <w:b w:val="0"/>
          <w:bCs w:val="0"/>
          <w:color w:val="auto"/>
          <w:lang w:val="en-US" w:eastAsia="zh-CN"/>
        </w:rPr>
      </w:pPr>
      <w:r>
        <w:rPr>
          <w:rFonts w:hint="eastAsia"/>
          <w:b w:val="0"/>
          <w:bCs w:val="0"/>
          <w:color w:val="auto"/>
          <w:lang w:val="en-US" w:eastAsia="zh-CN"/>
        </w:rPr>
        <w:t>（2）工程泥浆的直接利用</w:t>
      </w:r>
    </w:p>
    <w:p w14:paraId="62BEE03D">
      <w:pPr>
        <w:bidi w:val="0"/>
        <w:rPr>
          <w:rFonts w:hint="default"/>
          <w:b w:val="0"/>
          <w:bCs w:val="0"/>
          <w:color w:val="auto"/>
          <w:lang w:eastAsia="zh-CN"/>
        </w:rPr>
      </w:pPr>
      <w:r>
        <w:rPr>
          <w:rFonts w:hint="eastAsia"/>
          <w:b w:val="0"/>
          <w:bCs w:val="0"/>
          <w:color w:val="auto"/>
          <w:lang w:val="en-US" w:eastAsia="zh-CN"/>
        </w:rPr>
        <w:t>①就地掩埋：采用化学固化处理方法，向废弃的泥浆中投入一定量的泥浆固化剂，使其转化为可用的土壤类固体，可以就地掩埋由于工程施工情况不同，产生的泥浆种类繁多，泥浆的主要成分和主要性质存在很大差异，针对不同泥浆应采用不同的处理方法。目前常采用的处理方法是先利用絮凝剂加速固体沉淀，再利用固化剂</w:t>
      </w:r>
      <w:r>
        <w:rPr>
          <w:rFonts w:hint="default"/>
          <w:b w:val="0"/>
          <w:bCs w:val="0"/>
          <w:color w:val="auto"/>
          <w:lang w:eastAsia="zh-CN"/>
        </w:rPr>
        <w:t>固化。</w:t>
      </w:r>
    </w:p>
    <w:p w14:paraId="56A8E9B1">
      <w:pPr>
        <w:bidi w:val="0"/>
        <w:rPr>
          <w:rFonts w:hint="default"/>
          <w:b w:val="0"/>
          <w:bCs w:val="0"/>
          <w:color w:val="auto"/>
          <w:lang w:eastAsia="zh-CN"/>
        </w:rPr>
      </w:pPr>
      <w:r>
        <w:rPr>
          <w:rFonts w:hint="default"/>
          <w:b w:val="0"/>
          <w:bCs w:val="0"/>
          <w:color w:val="auto"/>
          <w:lang w:eastAsia="zh-CN"/>
        </w:rPr>
        <w:t>②土地耕作</w:t>
      </w:r>
      <w:r>
        <w:rPr>
          <w:rFonts w:hint="eastAsia"/>
          <w:b w:val="0"/>
          <w:bCs w:val="0"/>
          <w:color w:val="auto"/>
          <w:lang w:eastAsia="zh-CN"/>
        </w:rPr>
        <w:t>：</w:t>
      </w:r>
      <w:r>
        <w:rPr>
          <w:rFonts w:hint="default"/>
          <w:b w:val="0"/>
          <w:bCs w:val="0"/>
          <w:color w:val="auto"/>
          <w:lang w:eastAsia="zh-CN"/>
        </w:rPr>
        <w:t>将废弃泥浆充分打碎，与土地表层土混合，进行耕种，利用土壤自身的净化特性让泥浆降解，最终达到无害化处理废弃泥浆。此做法操作方便、简单易行、成本较低。但在进行之前需对土壤的结构进行分析，且对适宜的土壤所能</w:t>
      </w:r>
      <w:r>
        <w:rPr>
          <w:rFonts w:hint="eastAsia"/>
          <w:b w:val="0"/>
          <w:bCs w:val="0"/>
          <w:color w:val="auto"/>
          <w:lang w:eastAsia="zh-CN"/>
        </w:rPr>
        <w:t>掺入</w:t>
      </w:r>
      <w:r>
        <w:rPr>
          <w:rFonts w:hint="default"/>
          <w:b w:val="0"/>
          <w:bCs w:val="0"/>
          <w:color w:val="auto"/>
          <w:lang w:eastAsia="zh-CN"/>
        </w:rPr>
        <w:t>的泥浆量有严格的要求。</w:t>
      </w:r>
    </w:p>
    <w:p w14:paraId="67C58584">
      <w:pPr>
        <w:bidi w:val="0"/>
        <w:rPr>
          <w:rFonts w:hint="default"/>
          <w:b w:val="0"/>
          <w:bCs w:val="0"/>
          <w:color w:val="auto"/>
          <w:lang w:eastAsia="zh-CN"/>
        </w:rPr>
      </w:pPr>
      <w:r>
        <w:rPr>
          <w:rFonts w:hint="default"/>
          <w:b w:val="0"/>
          <w:bCs w:val="0"/>
          <w:color w:val="auto"/>
          <w:lang w:eastAsia="zh-CN"/>
        </w:rPr>
        <w:t>③自然沉淀</w:t>
      </w:r>
      <w:r>
        <w:rPr>
          <w:rFonts w:hint="eastAsia"/>
          <w:b w:val="0"/>
          <w:bCs w:val="0"/>
          <w:color w:val="auto"/>
          <w:lang w:eastAsia="zh-CN"/>
        </w:rPr>
        <w:t>：</w:t>
      </w:r>
      <w:r>
        <w:rPr>
          <w:rFonts w:hint="default"/>
          <w:b w:val="0"/>
          <w:bCs w:val="0"/>
          <w:color w:val="auto"/>
          <w:lang w:eastAsia="zh-CN"/>
        </w:rPr>
        <w:t>废弃泥浆不进行任何的人工处理，直接放置在沉淀池中，慢慢</w:t>
      </w:r>
      <w:r>
        <w:rPr>
          <w:rFonts w:hint="eastAsia"/>
          <w:b w:val="0"/>
          <w:bCs w:val="0"/>
          <w:color w:val="auto"/>
          <w:lang w:eastAsia="zh-CN"/>
        </w:rPr>
        <w:t>地</w:t>
      </w:r>
      <w:r>
        <w:rPr>
          <w:rFonts w:hint="default"/>
          <w:b w:val="0"/>
          <w:bCs w:val="0"/>
          <w:color w:val="auto"/>
          <w:lang w:eastAsia="zh-CN"/>
        </w:rPr>
        <w:t>沉淀，一段时间后泥浆沉淀物与上清液自行分离</w:t>
      </w:r>
      <w:r>
        <w:rPr>
          <w:rFonts w:hint="eastAsia"/>
          <w:b w:val="0"/>
          <w:bCs w:val="0"/>
          <w:color w:val="auto"/>
          <w:lang w:eastAsia="zh-CN"/>
        </w:rPr>
        <w:t>：</w:t>
      </w:r>
      <w:r>
        <w:rPr>
          <w:rFonts w:hint="default"/>
          <w:b w:val="0"/>
          <w:bCs w:val="0"/>
          <w:color w:val="auto"/>
          <w:lang w:eastAsia="zh-CN"/>
        </w:rPr>
        <w:t>在沉淀物上覆土，重新进行复垦。此方法需远离饮用水源、耕作地以及自然保护区等区域，环境安全隐患比较大。</w:t>
      </w:r>
    </w:p>
    <w:p w14:paraId="30895885">
      <w:pPr>
        <w:bidi w:val="0"/>
        <w:rPr>
          <w:rFonts w:hint="default"/>
          <w:b w:val="0"/>
          <w:bCs w:val="0"/>
          <w:color w:val="auto"/>
          <w:lang w:eastAsia="zh-CN"/>
        </w:rPr>
      </w:pPr>
      <w:r>
        <w:rPr>
          <w:rFonts w:hint="default"/>
          <w:b w:val="0"/>
          <w:bCs w:val="0"/>
          <w:color w:val="auto"/>
          <w:lang w:eastAsia="zh-CN"/>
        </w:rPr>
        <w:t>④注入安全地层或环形空间，将废弃泥浆注入预先设定的地层或环形空间，防止对环境造成污染。</w:t>
      </w:r>
    </w:p>
    <w:p w14:paraId="6B6BAA74">
      <w:pPr>
        <w:bidi w:val="0"/>
        <w:rPr>
          <w:rFonts w:hint="default"/>
          <w:b w:val="0"/>
          <w:bCs w:val="0"/>
          <w:color w:val="auto"/>
          <w:lang w:eastAsia="zh-CN"/>
        </w:rPr>
      </w:pPr>
      <w:r>
        <w:rPr>
          <w:rFonts w:hint="default"/>
          <w:b w:val="0"/>
          <w:bCs w:val="0"/>
          <w:color w:val="auto"/>
          <w:lang w:eastAsia="zh-CN"/>
        </w:rPr>
        <w:t>（3）工程垃圾、拆除垃圾的直接利用</w:t>
      </w:r>
    </w:p>
    <w:p w14:paraId="05C532CF">
      <w:pPr>
        <w:bidi w:val="0"/>
        <w:rPr>
          <w:rFonts w:hint="default"/>
          <w:b w:val="0"/>
          <w:bCs w:val="0"/>
          <w:color w:val="auto"/>
          <w:lang w:eastAsia="zh-CN"/>
        </w:rPr>
      </w:pPr>
      <w:r>
        <w:rPr>
          <w:rFonts w:hint="default"/>
          <w:b w:val="0"/>
          <w:bCs w:val="0"/>
          <w:color w:val="auto"/>
          <w:lang w:eastAsia="zh-CN"/>
        </w:rPr>
        <w:t>工程垃圾、拆除垃圾中主要为混凝土、砖块等，具有稳定的结构，能在长时间内保持一定的硬度</w:t>
      </w:r>
      <w:r>
        <w:rPr>
          <w:rFonts w:hint="eastAsia"/>
          <w:b w:val="0"/>
          <w:bCs w:val="0"/>
          <w:color w:val="auto"/>
          <w:lang w:eastAsia="zh-CN"/>
        </w:rPr>
        <w:t>；</w:t>
      </w:r>
      <w:r>
        <w:rPr>
          <w:rFonts w:hint="default"/>
          <w:b w:val="0"/>
          <w:bCs w:val="0"/>
          <w:color w:val="auto"/>
          <w:lang w:eastAsia="zh-CN"/>
        </w:rPr>
        <w:t>将其用于建设中的地基可以避免风化等外界环境的干扰，起到加固地基的作用。主要利用方法有：</w:t>
      </w:r>
    </w:p>
    <w:p w14:paraId="265BA9F0">
      <w:pPr>
        <w:bidi w:val="0"/>
        <w:rPr>
          <w:rFonts w:hint="default"/>
          <w:b w:val="0"/>
          <w:bCs w:val="0"/>
          <w:color w:val="auto"/>
          <w:lang w:eastAsia="zh-CN"/>
        </w:rPr>
      </w:pPr>
      <w:r>
        <w:rPr>
          <w:rFonts w:hint="default"/>
          <w:b w:val="0"/>
          <w:bCs w:val="0"/>
          <w:color w:val="auto"/>
          <w:lang w:eastAsia="zh-CN"/>
        </w:rPr>
        <w:t>①用作渣土桩填料。建筑垃圾渣土桩是通过一定的动力设备将重锤拉高到适当高度后，失去拉力向下冲击地基，在地基坑中放入适量的以建筑垃圾为主要原料的混凝土，经过夯实处理后能够满足加固地基的要求。</w:t>
      </w:r>
    </w:p>
    <w:p w14:paraId="4EAF4A2F">
      <w:pPr>
        <w:bidi w:val="0"/>
        <w:rPr>
          <w:rFonts w:hint="default"/>
          <w:b w:val="0"/>
          <w:bCs w:val="0"/>
          <w:color w:val="auto"/>
          <w:lang w:eastAsia="zh-CN"/>
        </w:rPr>
      </w:pPr>
      <w:r>
        <w:rPr>
          <w:rFonts w:hint="default"/>
          <w:b w:val="0"/>
          <w:bCs w:val="0"/>
          <w:color w:val="auto"/>
          <w:lang w:eastAsia="zh-CN"/>
        </w:rPr>
        <w:t>②用作夯扩桩填料。建筑垃圾夯扩桩的施工方法是采用细长锤在护筒通过打击而下沉，然后在护筒内将处理好的建筑垃圾等材料放入并夯实，形成负荷载体，最后放入钢筋并且浇筑为混凝土桩，</w:t>
      </w:r>
    </w:p>
    <w:p w14:paraId="44F7D60D">
      <w:pPr>
        <w:bidi w:val="0"/>
        <w:rPr>
          <w:rFonts w:hint="default"/>
          <w:b w:val="0"/>
          <w:bCs w:val="0"/>
          <w:color w:val="auto"/>
          <w:lang w:eastAsia="zh-CN"/>
        </w:rPr>
      </w:pPr>
      <w:r>
        <w:rPr>
          <w:rFonts w:hint="default"/>
          <w:b w:val="0"/>
          <w:bCs w:val="0"/>
          <w:color w:val="auto"/>
          <w:lang w:eastAsia="zh-CN"/>
        </w:rPr>
        <w:t>③建筑物拆除垃圾中完整尺寸的砖块经收集整理一般用于建筑施工工地的围墙、公路防护墙建设等。</w:t>
      </w:r>
    </w:p>
    <w:p w14:paraId="1B61231E">
      <w:pPr>
        <w:bidi w:val="0"/>
        <w:rPr>
          <w:rFonts w:hint="default"/>
          <w:b w:val="0"/>
          <w:bCs w:val="0"/>
          <w:color w:val="auto"/>
          <w:lang w:eastAsia="zh-CN"/>
        </w:rPr>
      </w:pPr>
      <w:r>
        <w:rPr>
          <w:rFonts w:hint="default"/>
          <w:b w:val="0"/>
          <w:bCs w:val="0"/>
          <w:color w:val="auto"/>
          <w:lang w:eastAsia="zh-CN"/>
        </w:rPr>
        <w:t>④在城市兴建大型建筑、广场、市政设施时，将其作为回填材料来使用。</w:t>
      </w:r>
    </w:p>
    <w:p w14:paraId="4BD50773">
      <w:pPr>
        <w:bidi w:val="0"/>
        <w:rPr>
          <w:rFonts w:hint="default"/>
          <w:b w:val="0"/>
          <w:bCs w:val="0"/>
          <w:color w:val="auto"/>
          <w:lang w:eastAsia="zh-CN"/>
        </w:rPr>
      </w:pPr>
      <w:r>
        <w:rPr>
          <w:rFonts w:hint="default"/>
          <w:b w:val="0"/>
          <w:bCs w:val="0"/>
          <w:color w:val="auto"/>
          <w:lang w:eastAsia="zh-CN"/>
        </w:rPr>
        <w:t>（4）</w:t>
      </w:r>
      <w:r>
        <w:rPr>
          <w:rFonts w:hint="eastAsia"/>
          <w:b w:val="0"/>
          <w:bCs w:val="0"/>
          <w:color w:val="auto"/>
          <w:lang w:val="en-US" w:eastAsia="zh-CN"/>
        </w:rPr>
        <w:t>装修垃圾</w:t>
      </w:r>
      <w:r>
        <w:rPr>
          <w:rFonts w:hint="default"/>
          <w:b w:val="0"/>
          <w:bCs w:val="0"/>
          <w:color w:val="auto"/>
          <w:lang w:eastAsia="zh-CN"/>
        </w:rPr>
        <w:t>的直接利用</w:t>
      </w:r>
    </w:p>
    <w:p w14:paraId="7CB33E4E">
      <w:pPr>
        <w:bidi w:val="0"/>
        <w:rPr>
          <w:rFonts w:hint="default"/>
          <w:b w:val="0"/>
          <w:bCs w:val="0"/>
          <w:color w:val="auto"/>
          <w:lang w:eastAsia="zh-CN"/>
        </w:rPr>
      </w:pPr>
      <w:r>
        <w:rPr>
          <w:rFonts w:hint="default"/>
          <w:b w:val="0"/>
          <w:bCs w:val="0"/>
          <w:color w:val="auto"/>
          <w:lang w:eastAsia="zh-CN"/>
        </w:rPr>
        <w:t>装修垃圾成分复杂，一般需要经过垃圾分类之后才能进行直接利用。其中主要能够直接利用的材料有砖块、混凝土、竹木、金属</w:t>
      </w:r>
      <w:r>
        <w:rPr>
          <w:rFonts w:hint="eastAsia"/>
          <w:b w:val="0"/>
          <w:bCs w:val="0"/>
          <w:color w:val="auto"/>
          <w:lang w:eastAsia="zh-CN"/>
        </w:rPr>
        <w:t>。</w:t>
      </w:r>
    </w:p>
    <w:p w14:paraId="561B1108">
      <w:pPr>
        <w:bidi w:val="0"/>
        <w:rPr>
          <w:rFonts w:hint="default"/>
          <w:b w:val="0"/>
          <w:bCs w:val="0"/>
          <w:color w:val="auto"/>
          <w:lang w:eastAsia="zh-CN"/>
        </w:rPr>
      </w:pPr>
      <w:r>
        <w:rPr>
          <w:rFonts w:hint="default"/>
          <w:b w:val="0"/>
          <w:bCs w:val="0"/>
          <w:color w:val="auto"/>
          <w:lang w:eastAsia="zh-CN"/>
        </w:rPr>
        <w:t>竹木用作模板、支撑柱的木材拆卸后，一般可继续周转使用。对于大尺寸的竹木，经过简单加工后可作为其他材料。对于不符合尺寸的废木材木棒以及锯末等可作为造纸原料和燃料，也可作为堆肥原料和防护工程的覆盖物。对于废木料可以作为黏土、木料和水泥等的原料制成复合材料，与普通混凝土相比，该复合材料具有质量轻，且热传导低等优点，因而可以将其作为特殊的绝热材料，还可将破碎的木材制造人造木砖，用于建筑门窗的安装。金属经除漆后可直接作为原材料回收利用。</w:t>
      </w:r>
    </w:p>
    <w:p w14:paraId="71888250">
      <w:pPr>
        <w:pStyle w:val="4"/>
        <w:bidi w:val="0"/>
        <w:rPr>
          <w:rFonts w:hint="eastAsia"/>
          <w:color w:val="auto"/>
          <w:lang w:val="en-US" w:eastAsia="zh-CN"/>
        </w:rPr>
      </w:pPr>
      <w:bookmarkStart w:id="77" w:name="_Toc17481"/>
      <w:r>
        <w:rPr>
          <w:rFonts w:hint="eastAsia"/>
          <w:color w:val="auto"/>
          <w:lang w:val="en-US" w:eastAsia="zh-CN"/>
        </w:rPr>
        <w:t>7.2.2 建筑垃圾资源化利用</w:t>
      </w:r>
      <w:bookmarkEnd w:id="77"/>
    </w:p>
    <w:p w14:paraId="3B8CF841">
      <w:pPr>
        <w:bidi w:val="0"/>
        <w:rPr>
          <w:rFonts w:hint="default"/>
          <w:color w:val="auto"/>
          <w:lang w:val="en-US" w:eastAsia="zh-CN"/>
        </w:rPr>
      </w:pPr>
      <w:r>
        <w:rPr>
          <w:rFonts w:hint="default"/>
          <w:color w:val="auto"/>
          <w:lang w:val="en-US" w:eastAsia="zh-CN"/>
        </w:rPr>
        <w:t>建筑垃圾的资源化再生利用主要可用于生产再生骨料、再生砖、再生砌块、再生景观石、再生混凝土、再生稳定碎石、再生预拌砂浆等。</w:t>
      </w:r>
    </w:p>
    <w:p w14:paraId="28B1EE76">
      <w:pPr>
        <w:bidi w:val="0"/>
        <w:rPr>
          <w:rFonts w:hint="default"/>
          <w:color w:val="auto"/>
          <w:lang w:val="en-US" w:eastAsia="zh-CN"/>
        </w:rPr>
      </w:pPr>
      <w:r>
        <w:rPr>
          <w:rFonts w:hint="default"/>
          <w:color w:val="auto"/>
          <w:lang w:val="en-US" w:eastAsia="zh-CN"/>
        </w:rPr>
        <w:t>建筑垃圾组成主要包括以下几类</w:t>
      </w:r>
      <w:r>
        <w:rPr>
          <w:rFonts w:hint="eastAsia"/>
          <w:color w:val="auto"/>
          <w:lang w:val="en-US" w:eastAsia="zh-CN"/>
        </w:rPr>
        <w:t>：</w:t>
      </w:r>
      <w:r>
        <w:rPr>
          <w:rFonts w:hint="default"/>
          <w:color w:val="auto"/>
          <w:lang w:val="en-US" w:eastAsia="zh-CN"/>
        </w:rPr>
        <w:t>渣土</w:t>
      </w:r>
      <w:r>
        <w:rPr>
          <w:rFonts w:hint="eastAsia"/>
          <w:color w:val="auto"/>
          <w:lang w:val="en-US" w:eastAsia="zh-CN"/>
        </w:rPr>
        <w:t>、</w:t>
      </w:r>
      <w:r>
        <w:rPr>
          <w:rFonts w:hint="default"/>
          <w:color w:val="auto"/>
          <w:lang w:val="en-US" w:eastAsia="zh-CN"/>
        </w:rPr>
        <w:t>混凝土</w:t>
      </w:r>
      <w:r>
        <w:rPr>
          <w:rFonts w:hint="eastAsia"/>
          <w:color w:val="auto"/>
          <w:lang w:val="en-US" w:eastAsia="zh-CN"/>
        </w:rPr>
        <w:t>、</w:t>
      </w:r>
      <w:r>
        <w:rPr>
          <w:rFonts w:hint="default"/>
          <w:color w:val="auto"/>
          <w:lang w:val="en-US" w:eastAsia="zh-CN"/>
        </w:rPr>
        <w:t>碎石块</w:t>
      </w:r>
      <w:r>
        <w:rPr>
          <w:rFonts w:hint="eastAsia"/>
          <w:color w:val="auto"/>
          <w:lang w:val="en-US" w:eastAsia="zh-CN"/>
        </w:rPr>
        <w:t>、</w:t>
      </w:r>
      <w:r>
        <w:rPr>
          <w:rFonts w:hint="default"/>
          <w:color w:val="auto"/>
          <w:lang w:val="en-US" w:eastAsia="zh-CN"/>
        </w:rPr>
        <w:t>砖瓦碎块</w:t>
      </w:r>
      <w:r>
        <w:rPr>
          <w:rFonts w:hint="eastAsia"/>
          <w:color w:val="auto"/>
          <w:lang w:val="en-US" w:eastAsia="zh-CN"/>
        </w:rPr>
        <w:t>、</w:t>
      </w:r>
      <w:r>
        <w:rPr>
          <w:rFonts w:hint="default"/>
          <w:color w:val="auto"/>
          <w:lang w:val="en-US" w:eastAsia="zh-CN"/>
        </w:rPr>
        <w:t>废砂浆</w:t>
      </w:r>
      <w:r>
        <w:rPr>
          <w:rFonts w:hint="eastAsia"/>
          <w:color w:val="auto"/>
          <w:lang w:val="en-US" w:eastAsia="zh-CN"/>
        </w:rPr>
        <w:t>、</w:t>
      </w:r>
      <w:r>
        <w:rPr>
          <w:rFonts w:hint="default"/>
          <w:color w:val="auto"/>
          <w:lang w:val="en-US" w:eastAsia="zh-CN"/>
        </w:rPr>
        <w:t>废竹木、纸片</w:t>
      </w:r>
      <w:r>
        <w:rPr>
          <w:rFonts w:hint="eastAsia"/>
          <w:color w:val="auto"/>
          <w:lang w:val="en-US" w:eastAsia="zh-CN"/>
        </w:rPr>
        <w:t>、</w:t>
      </w:r>
      <w:r>
        <w:rPr>
          <w:rFonts w:hint="default"/>
          <w:color w:val="auto"/>
          <w:lang w:val="en-US" w:eastAsia="zh-CN"/>
        </w:rPr>
        <w:t>废塑料</w:t>
      </w:r>
      <w:r>
        <w:rPr>
          <w:rFonts w:hint="eastAsia"/>
          <w:color w:val="auto"/>
          <w:lang w:val="en-US" w:eastAsia="zh-CN"/>
        </w:rPr>
        <w:t>、</w:t>
      </w:r>
      <w:r>
        <w:rPr>
          <w:rFonts w:hint="default"/>
          <w:color w:val="auto"/>
          <w:lang w:val="en-US" w:eastAsia="zh-CN"/>
        </w:rPr>
        <w:t>废金属</w:t>
      </w:r>
      <w:r>
        <w:rPr>
          <w:rFonts w:hint="eastAsia"/>
          <w:color w:val="auto"/>
          <w:lang w:val="en-US" w:eastAsia="zh-CN"/>
        </w:rPr>
        <w:t>（</w:t>
      </w:r>
      <w:r>
        <w:rPr>
          <w:rFonts w:hint="default"/>
          <w:color w:val="auto"/>
          <w:lang w:val="en-US" w:eastAsia="zh-CN"/>
        </w:rPr>
        <w:t>如钢铁等</w:t>
      </w:r>
      <w:r>
        <w:rPr>
          <w:rFonts w:hint="eastAsia"/>
          <w:color w:val="auto"/>
          <w:lang w:val="en-US" w:eastAsia="zh-CN"/>
        </w:rPr>
        <w:t>）、</w:t>
      </w:r>
      <w:r>
        <w:rPr>
          <w:rFonts w:hint="default"/>
          <w:color w:val="auto"/>
          <w:lang w:val="en-US" w:eastAsia="zh-CN"/>
        </w:rPr>
        <w:t>泥土、灰尘</w:t>
      </w:r>
      <w:r>
        <w:rPr>
          <w:rFonts w:hint="eastAsia"/>
          <w:color w:val="auto"/>
          <w:lang w:val="en-US" w:eastAsia="zh-CN"/>
        </w:rPr>
        <w:t>、其他</w:t>
      </w:r>
      <w:r>
        <w:rPr>
          <w:rFonts w:hint="default"/>
          <w:color w:val="auto"/>
          <w:lang w:val="en-US" w:eastAsia="zh-CN"/>
        </w:rPr>
        <w:t>有机物</w:t>
      </w:r>
      <w:r>
        <w:rPr>
          <w:rFonts w:hint="eastAsia"/>
          <w:color w:val="auto"/>
          <w:lang w:val="en-US" w:eastAsia="zh-CN"/>
        </w:rPr>
        <w:t>、其他杂物</w:t>
      </w:r>
      <w:r>
        <w:rPr>
          <w:rFonts w:hint="default"/>
          <w:color w:val="auto"/>
          <w:lang w:val="en-US" w:eastAsia="zh-CN"/>
        </w:rPr>
        <w:t>。</w:t>
      </w:r>
    </w:p>
    <w:p w14:paraId="2A5F2AF3">
      <w:pPr>
        <w:bidi w:val="0"/>
        <w:rPr>
          <w:rFonts w:hint="default"/>
          <w:color w:val="auto"/>
          <w:lang w:val="en-US" w:eastAsia="zh-CN"/>
        </w:rPr>
      </w:pPr>
      <w:r>
        <w:rPr>
          <w:rFonts w:hint="default"/>
          <w:color w:val="auto"/>
          <w:lang w:val="en-US" w:eastAsia="zh-CN"/>
        </w:rPr>
        <w:t>根据现有技术，可综合利用途径有</w:t>
      </w:r>
      <w:r>
        <w:rPr>
          <w:rFonts w:hint="eastAsia"/>
          <w:color w:val="auto"/>
          <w:lang w:val="en-US" w:eastAsia="zh-CN"/>
        </w:rPr>
        <w:t>：</w:t>
      </w:r>
    </w:p>
    <w:p w14:paraId="6B8AE9DC">
      <w:pPr>
        <w:bidi w:val="0"/>
        <w:rPr>
          <w:rFonts w:hint="default"/>
          <w:color w:val="auto"/>
          <w:lang w:val="en-US" w:eastAsia="zh-CN"/>
        </w:rPr>
      </w:pPr>
      <w:r>
        <w:rPr>
          <w:rFonts w:hint="eastAsia"/>
          <w:color w:val="auto"/>
          <w:lang w:val="en-US" w:eastAsia="zh-CN"/>
        </w:rPr>
        <w:t>（1）</w:t>
      </w:r>
      <w:r>
        <w:rPr>
          <w:rFonts w:hint="default"/>
          <w:color w:val="auto"/>
          <w:lang w:val="en-US" w:eastAsia="zh-CN"/>
        </w:rPr>
        <w:t>可再次利用残品废砖瓦经清理可以重新使用。废瓷砖、陶瓷洁具经破碎分选、配料压制成型生产透水地砖或烧结地砖。</w:t>
      </w:r>
    </w:p>
    <w:p w14:paraId="2045000C">
      <w:pPr>
        <w:bidi w:val="0"/>
        <w:rPr>
          <w:rFonts w:hint="default"/>
          <w:color w:val="auto"/>
          <w:lang w:val="en-US" w:eastAsia="zh-CN"/>
        </w:rPr>
      </w:pPr>
      <w:r>
        <w:rPr>
          <w:rFonts w:hint="eastAsia"/>
          <w:color w:val="auto"/>
          <w:lang w:val="en-US" w:eastAsia="zh-CN"/>
        </w:rPr>
        <w:t>（2）</w:t>
      </w:r>
      <w:r>
        <w:rPr>
          <w:rFonts w:hint="default"/>
          <w:color w:val="auto"/>
          <w:lang w:val="en-US" w:eastAsia="zh-CN"/>
        </w:rPr>
        <w:t>可回收金属废料钢门窗、废钢筋、废铁丝、铁钉、铸铁管黑白铁皮、废电线和各种废钢配件等金属等经分拣、集中、重新回炉后，送有色金属冶炼厂或钢铁厂回炼，可以再加工制造成各种规格的钢材。</w:t>
      </w:r>
    </w:p>
    <w:p w14:paraId="6B12FA9B">
      <w:pPr>
        <w:bidi w:val="0"/>
        <w:rPr>
          <w:rFonts w:hint="default"/>
          <w:color w:val="auto"/>
          <w:lang w:val="en-US" w:eastAsia="zh-CN"/>
        </w:rPr>
      </w:pPr>
      <w:r>
        <w:rPr>
          <w:rFonts w:hint="eastAsia"/>
          <w:color w:val="auto"/>
          <w:lang w:val="en-US" w:eastAsia="zh-CN"/>
        </w:rPr>
        <w:t>（3）</w:t>
      </w:r>
      <w:r>
        <w:rPr>
          <w:rFonts w:hint="default"/>
          <w:color w:val="auto"/>
          <w:lang w:val="en-US" w:eastAsia="zh-CN"/>
        </w:rPr>
        <w:t>可回收非金属废料废玻璃和竹木门窗构件、塑料构件均可分选后送到相应的处理站进行再生利用处理。如玻璃可以筛分后送微晶玻璃厂或玻璃厂做原料生产玻璃或生产微晶玻璃</w:t>
      </w:r>
      <w:r>
        <w:rPr>
          <w:rFonts w:hint="eastAsia"/>
          <w:color w:val="auto"/>
          <w:lang w:val="en-US" w:eastAsia="zh-CN"/>
        </w:rPr>
        <w:t>；</w:t>
      </w:r>
      <w:r>
        <w:rPr>
          <w:rFonts w:hint="default"/>
          <w:color w:val="auto"/>
          <w:lang w:val="en-US" w:eastAsia="zh-CN"/>
        </w:rPr>
        <w:t>木屋架、木门窗可重复利用或经加工再利用，或用于制造中密度纤维板，废竹木材则可以用于制造人造木材</w:t>
      </w:r>
      <w:r>
        <w:rPr>
          <w:rFonts w:hint="eastAsia"/>
          <w:color w:val="auto"/>
          <w:lang w:val="en-US" w:eastAsia="zh-CN"/>
        </w:rPr>
        <w:t>；</w:t>
      </w:r>
      <w:r>
        <w:rPr>
          <w:rFonts w:hint="default"/>
          <w:color w:val="auto"/>
          <w:lang w:val="en-US" w:eastAsia="zh-CN"/>
        </w:rPr>
        <w:t>废塑料构件也可再次回炉加工成塑料颗粒重复利用</w:t>
      </w:r>
      <w:r>
        <w:rPr>
          <w:rFonts w:hint="eastAsia"/>
          <w:color w:val="auto"/>
          <w:lang w:val="en-US" w:eastAsia="zh-CN"/>
        </w:rPr>
        <w:t>。</w:t>
      </w:r>
    </w:p>
    <w:p w14:paraId="6B681190">
      <w:pPr>
        <w:bidi w:val="0"/>
        <w:rPr>
          <w:rFonts w:hint="default"/>
          <w:color w:val="auto"/>
          <w:lang w:val="en-US" w:eastAsia="zh-CN"/>
        </w:rPr>
      </w:pPr>
      <w:r>
        <w:rPr>
          <w:rFonts w:hint="eastAsia"/>
          <w:color w:val="auto"/>
          <w:lang w:val="en-US" w:eastAsia="zh-CN"/>
        </w:rPr>
        <w:t>（4）</w:t>
      </w:r>
      <w:r>
        <w:rPr>
          <w:rFonts w:hint="default"/>
          <w:color w:val="auto"/>
          <w:lang w:val="en-US" w:eastAsia="zh-CN"/>
        </w:rPr>
        <w:t>不可回收废料砖、石、混凝土和渣土等废料，属于不能回收利用的成分，可以利用大型破锤或破碎机破碎至直径小于</w:t>
      </w:r>
      <w:r>
        <w:rPr>
          <w:rFonts w:hint="eastAsia"/>
          <w:color w:val="auto"/>
          <w:lang w:val="en-US" w:eastAsia="zh-CN"/>
        </w:rPr>
        <w:t>8</w:t>
      </w:r>
      <w:r>
        <w:rPr>
          <w:rFonts w:hint="default"/>
          <w:color w:val="auto"/>
          <w:lang w:val="en-US" w:eastAsia="zh-CN"/>
        </w:rPr>
        <w:t>0毫米，可以直接作为道路路基的回填材料</w:t>
      </w:r>
      <w:r>
        <w:rPr>
          <w:rFonts w:hint="eastAsia"/>
          <w:color w:val="auto"/>
          <w:lang w:val="en-US" w:eastAsia="zh-CN"/>
        </w:rPr>
        <w:t>，</w:t>
      </w:r>
      <w:r>
        <w:rPr>
          <w:rFonts w:hint="default"/>
          <w:color w:val="auto"/>
          <w:lang w:val="en-US" w:eastAsia="zh-CN"/>
        </w:rPr>
        <w:t>再经过粉碎机粉碎至建筑所需的石子、砂子，再将上述混合物用多层分级筛分成符合建筑标准的粗石子、细石子、粗砂子、细砂子，以及</w:t>
      </w:r>
      <w:r>
        <w:rPr>
          <w:rFonts w:hint="eastAsia"/>
          <w:color w:val="auto"/>
          <w:lang w:val="en-US" w:eastAsia="zh-CN"/>
        </w:rPr>
        <w:t>泥沙</w:t>
      </w:r>
      <w:r>
        <w:rPr>
          <w:rFonts w:hint="default"/>
          <w:color w:val="auto"/>
          <w:lang w:val="en-US" w:eastAsia="zh-CN"/>
        </w:rPr>
        <w:t>等再生材料。经分选粉碎后的粗细骨料，替代天然骨料来配制混凝土、道路基层材料，可以代砂，用于砌筑砂浆、抹灰砂浆、打混凝土垫层等，还可以用于制作砌块、铺道砖、花格砖等建材制品。</w:t>
      </w:r>
    </w:p>
    <w:p w14:paraId="0CAAA0EB">
      <w:pPr>
        <w:pStyle w:val="4"/>
        <w:bidi w:val="0"/>
        <w:rPr>
          <w:rFonts w:hint="eastAsia"/>
          <w:color w:val="auto"/>
          <w:lang w:val="en-US" w:eastAsia="zh-CN"/>
        </w:rPr>
      </w:pPr>
      <w:bookmarkStart w:id="78" w:name="_Toc25907"/>
      <w:r>
        <w:rPr>
          <w:rFonts w:hint="eastAsia"/>
          <w:color w:val="auto"/>
          <w:lang w:val="en-US" w:eastAsia="zh-CN"/>
        </w:rPr>
        <w:t>7.2.3 建筑垃圾无害化处置</w:t>
      </w:r>
      <w:bookmarkEnd w:id="78"/>
    </w:p>
    <w:p w14:paraId="0150CE1F">
      <w:pPr>
        <w:bidi w:val="0"/>
        <w:rPr>
          <w:rFonts w:hint="default"/>
          <w:color w:val="auto"/>
          <w:lang w:val="en-US" w:eastAsia="zh-CN"/>
        </w:rPr>
      </w:pPr>
      <w:r>
        <w:rPr>
          <w:rFonts w:hint="eastAsia"/>
          <w:color w:val="auto"/>
          <w:lang w:val="en-US" w:eastAsia="zh-CN"/>
        </w:rPr>
        <w:t>（1）</w:t>
      </w:r>
      <w:r>
        <w:rPr>
          <w:rFonts w:hint="default"/>
          <w:color w:val="auto"/>
          <w:lang w:val="en-US" w:eastAsia="zh-CN"/>
        </w:rPr>
        <w:t>工程回填</w:t>
      </w:r>
    </w:p>
    <w:p w14:paraId="0EA0A273">
      <w:pPr>
        <w:bidi w:val="0"/>
        <w:rPr>
          <w:rFonts w:hint="default"/>
          <w:color w:val="auto"/>
          <w:lang w:val="en-US" w:eastAsia="zh-CN"/>
        </w:rPr>
      </w:pPr>
      <w:r>
        <w:rPr>
          <w:rFonts w:hint="default"/>
          <w:color w:val="auto"/>
          <w:lang w:val="en-US" w:eastAsia="zh-CN"/>
        </w:rPr>
        <w:t>工程回填是一种高效的建筑垃圾处理和资源化利用方法，它涵盖了包括路基施工、桩基填料、地基与基础建设、土地平整作业、堆山造景、综合管廊建设以及矿山和石场的生态修复等多个生态工程项目。这些项目通过回填方式消纳了大量的建筑垃圾，尤其是工程渣土，从而减少了对环境的影响，并提高了土地的利用效率。建设工地的渣土回填因其操作简便、成本低廉而成为最常见的做法。这种方法不仅能够解决建筑工地上的垃圾堆积问题，还能为建筑工程提供必要的填料，实现资源的现场循环利用。</w:t>
      </w:r>
    </w:p>
    <w:p w14:paraId="375F4578">
      <w:pPr>
        <w:bidi w:val="0"/>
        <w:rPr>
          <w:rFonts w:hint="default"/>
          <w:color w:val="auto"/>
          <w:lang w:val="en-US" w:eastAsia="zh-CN"/>
        </w:rPr>
      </w:pPr>
      <w:r>
        <w:rPr>
          <w:rFonts w:hint="default"/>
          <w:color w:val="auto"/>
          <w:lang w:val="en-US" w:eastAsia="zh-CN"/>
        </w:rPr>
        <w:t>此外，</w:t>
      </w:r>
      <w:r>
        <w:rPr>
          <w:rFonts w:hint="eastAsia"/>
          <w:color w:val="auto"/>
          <w:lang w:val="en-US" w:eastAsia="zh-CN"/>
        </w:rPr>
        <w:t>可以将建筑垃圾</w:t>
      </w:r>
      <w:r>
        <w:rPr>
          <w:rFonts w:hint="default"/>
          <w:color w:val="auto"/>
          <w:lang w:val="en-US" w:eastAsia="zh-CN"/>
        </w:rPr>
        <w:t>转化为市政管网所需的回填材料</w:t>
      </w:r>
      <w:r>
        <w:rPr>
          <w:rFonts w:hint="eastAsia"/>
          <w:color w:val="auto"/>
          <w:lang w:val="en-US" w:eastAsia="zh-CN"/>
        </w:rPr>
        <w:t>，</w:t>
      </w:r>
      <w:r>
        <w:rPr>
          <w:rFonts w:hint="default"/>
          <w:color w:val="auto"/>
          <w:lang w:val="en-US" w:eastAsia="zh-CN"/>
        </w:rPr>
        <w:t>在城市基础设施建设中，给水、雨水、污水、电力、通信、燃气等市政管网的铺设和维护过程中，回填作业是一个不可或缺的环节。传统的回填材料如中粗砂、砾石等，不仅资源有限，而且成本较高。若能将建筑垃圾经过加工处理，转化为符合工程质量要求的回填材料，不仅能替代传统材料，还能显著减少建筑垃圾的填埋量，降低对环境的负担，同时也为城市基础设施建设提供了一种经济可行的材料选择。</w:t>
      </w:r>
    </w:p>
    <w:p w14:paraId="245AB960">
      <w:pPr>
        <w:bidi w:val="0"/>
        <w:rPr>
          <w:rFonts w:hint="default"/>
          <w:color w:val="auto"/>
          <w:lang w:val="en-US" w:eastAsia="zh-CN"/>
        </w:rPr>
      </w:pPr>
      <w:r>
        <w:rPr>
          <w:rFonts w:hint="eastAsia"/>
          <w:color w:val="auto"/>
          <w:lang w:val="en-US" w:eastAsia="zh-CN"/>
        </w:rPr>
        <w:t>（2）</w:t>
      </w:r>
      <w:r>
        <w:rPr>
          <w:rFonts w:hint="default"/>
          <w:color w:val="auto"/>
          <w:lang w:val="en-US" w:eastAsia="zh-CN"/>
        </w:rPr>
        <w:t>固定消纳</w:t>
      </w:r>
    </w:p>
    <w:p w14:paraId="76665AED">
      <w:pPr>
        <w:bidi w:val="0"/>
        <w:rPr>
          <w:rFonts w:hint="default"/>
          <w:color w:val="auto"/>
          <w:lang w:val="en-US" w:eastAsia="zh-CN"/>
        </w:rPr>
      </w:pPr>
      <w:r>
        <w:rPr>
          <w:rFonts w:hint="default"/>
          <w:color w:val="auto"/>
          <w:lang w:val="en-US" w:eastAsia="zh-CN"/>
        </w:rPr>
        <w:t>建筑垃圾，尤其是工程渣土，作为惰性无机物，通常可以通过陆域安全堆填的方式进行无害化处理。这种方法是目前最成熟且最主要的处理手段之一，也是保障城市环境卫生的重要设施。然而，陆域安全堆填方式在实施过程中面临两个主要问题：</w:t>
      </w:r>
    </w:p>
    <w:p w14:paraId="24A5AA6D">
      <w:pPr>
        <w:bidi w:val="0"/>
        <w:rPr>
          <w:rFonts w:hint="default"/>
          <w:color w:val="auto"/>
          <w:lang w:val="en-US" w:eastAsia="zh-CN"/>
        </w:rPr>
      </w:pPr>
      <w:r>
        <w:rPr>
          <w:rFonts w:hint="default"/>
          <w:color w:val="auto"/>
          <w:lang w:val="en-US" w:eastAsia="zh-CN"/>
        </w:rPr>
        <w:t>首先，采用陆域安全堆填方式处理建筑垃圾会占用大量的土地资源。在土地资源本就紧张的地区，这种矛盾尤为突出。占用建设用地来贮存建筑垃圾显然是不合理的，因为这会进一步加剧土地资源的紧张状况。同样，使用生态绿地来处理建筑垃圾也会对生态环境造成破坏，这与可持续发展和环境保护的原则相违背。</w:t>
      </w:r>
    </w:p>
    <w:p w14:paraId="3F5B885B">
      <w:pPr>
        <w:bidi w:val="0"/>
        <w:rPr>
          <w:rFonts w:hint="default"/>
          <w:color w:val="auto"/>
          <w:lang w:val="en-US" w:eastAsia="zh-CN"/>
        </w:rPr>
      </w:pPr>
      <w:r>
        <w:rPr>
          <w:rFonts w:hint="default"/>
          <w:color w:val="auto"/>
          <w:lang w:val="en-US" w:eastAsia="zh-CN"/>
        </w:rPr>
        <w:t>其次，即便在陆域安全堆填方式暂时可行且必要的情况下，由于需要考虑基本农田保护、自然景观保护、国家森林公园保护、水源保护、河道及水库保护等多方面的限制，使得合适的消纳场选址变得非常困难。这些限制条件使得可以用于堆填的场地越来越少，也增加了堆填作业的难度和成本。</w:t>
      </w:r>
    </w:p>
    <w:p w14:paraId="5E509275">
      <w:pPr>
        <w:bidi w:val="0"/>
        <w:rPr>
          <w:rFonts w:hint="default"/>
          <w:color w:val="auto"/>
          <w:lang w:val="en-US" w:eastAsia="zh-CN"/>
        </w:rPr>
      </w:pPr>
      <w:r>
        <w:rPr>
          <w:rFonts w:hint="default"/>
          <w:color w:val="auto"/>
          <w:lang w:val="en-US" w:eastAsia="zh-CN"/>
        </w:rPr>
        <w:t>因此，可以考虑将固定消纳场定位为服务政府重大建设工程的应急储备设施，或者作为建筑垃圾中暂时无法综合利用的惰性组分的兜底设施。这样的定位可以在确保环境安全的前提下，最大限度地减少对土地资源的占用，同时也为建筑垃圾的最终处理提供了一个可靠的保障。</w:t>
      </w:r>
    </w:p>
    <w:p w14:paraId="01CE2F09">
      <w:pPr>
        <w:pStyle w:val="4"/>
        <w:bidi w:val="0"/>
        <w:rPr>
          <w:rFonts w:hint="eastAsia"/>
          <w:color w:val="auto"/>
          <w:lang w:val="en-US" w:eastAsia="zh-CN"/>
        </w:rPr>
      </w:pPr>
      <w:bookmarkStart w:id="79" w:name="_Toc23731"/>
      <w:r>
        <w:rPr>
          <w:rFonts w:hint="eastAsia"/>
          <w:color w:val="auto"/>
          <w:lang w:val="en-US" w:eastAsia="zh-CN"/>
        </w:rPr>
        <w:t>7.2.4 建筑垃圾处置规划</w:t>
      </w:r>
      <w:bookmarkEnd w:id="79"/>
    </w:p>
    <w:p w14:paraId="4F753D44">
      <w:pPr>
        <w:bidi w:val="0"/>
        <w:rPr>
          <w:rFonts w:hint="eastAsia"/>
          <w:color w:val="auto"/>
          <w:lang w:val="en-US" w:eastAsia="zh-CN"/>
        </w:rPr>
      </w:pPr>
      <w:r>
        <w:rPr>
          <w:rFonts w:hint="default"/>
          <w:b/>
          <w:bCs/>
          <w:color w:val="auto"/>
          <w:lang w:val="en-US" w:eastAsia="zh-CN"/>
        </w:rPr>
        <w:t>按照</w:t>
      </w:r>
      <w:r>
        <w:rPr>
          <w:rFonts w:hint="eastAsia"/>
          <w:b/>
          <w:bCs/>
          <w:color w:val="auto"/>
          <w:lang w:val="en-US" w:eastAsia="zh-CN"/>
        </w:rPr>
        <w:t>“</w:t>
      </w:r>
      <w:r>
        <w:rPr>
          <w:rFonts w:hint="default"/>
          <w:b/>
          <w:bCs/>
          <w:color w:val="auto"/>
          <w:lang w:val="en-US" w:eastAsia="zh-CN"/>
        </w:rPr>
        <w:t>谁产生、谁承担处置责任</w:t>
      </w:r>
      <w:r>
        <w:rPr>
          <w:rFonts w:hint="eastAsia"/>
          <w:b/>
          <w:bCs/>
          <w:color w:val="auto"/>
          <w:lang w:val="en-US" w:eastAsia="zh-CN"/>
        </w:rPr>
        <w:t>”</w:t>
      </w:r>
      <w:r>
        <w:rPr>
          <w:rFonts w:hint="default"/>
          <w:b/>
          <w:bCs/>
          <w:color w:val="auto"/>
          <w:lang w:val="en-US" w:eastAsia="zh-CN"/>
        </w:rPr>
        <w:t>的原则</w:t>
      </w:r>
      <w:r>
        <w:rPr>
          <w:rFonts w:hint="default"/>
          <w:color w:val="auto"/>
          <w:lang w:val="en-US" w:eastAsia="zh-CN"/>
        </w:rPr>
        <w:t>，对建筑垃圾进行分类处理。工程渣土和工程泥浆进行统一的处理和堆放，主要通过强化就地、就近平衡减少外运处理量，外运部分主要用于回填和临时资源化利用</w:t>
      </w:r>
      <w:r>
        <w:rPr>
          <w:rFonts w:hint="eastAsia"/>
          <w:color w:val="auto"/>
          <w:lang w:val="en-US" w:eastAsia="zh-CN"/>
        </w:rPr>
        <w:t>。</w:t>
      </w:r>
    </w:p>
    <w:p w14:paraId="2D9D02C1">
      <w:pPr>
        <w:bidi w:val="0"/>
        <w:rPr>
          <w:rFonts w:hint="default"/>
          <w:color w:val="auto"/>
          <w:lang w:val="en-US" w:eastAsia="zh-CN"/>
        </w:rPr>
      </w:pPr>
      <w:r>
        <w:rPr>
          <w:rFonts w:hint="eastAsia"/>
          <w:color w:val="auto"/>
          <w:lang w:val="en-US" w:eastAsia="zh-CN"/>
        </w:rPr>
        <w:t>（1）</w:t>
      </w:r>
      <w:r>
        <w:rPr>
          <w:rFonts w:hint="default"/>
          <w:color w:val="auto"/>
          <w:lang w:val="en-US" w:eastAsia="zh-CN"/>
        </w:rPr>
        <w:t>工程渣土和工程泥浆</w:t>
      </w:r>
    </w:p>
    <w:p w14:paraId="3F3BF64A">
      <w:pPr>
        <w:bidi w:val="0"/>
        <w:rPr>
          <w:rFonts w:hint="default"/>
          <w:color w:val="auto"/>
          <w:lang w:val="en-US" w:eastAsia="zh-CN"/>
        </w:rPr>
      </w:pPr>
      <w:r>
        <w:rPr>
          <w:rFonts w:hint="default"/>
          <w:color w:val="auto"/>
          <w:lang w:val="en-US" w:eastAsia="zh-CN"/>
        </w:rPr>
        <w:t>工程渣土、工程泥浆可用于资源化利用、域内平衡、跨区域调剂平衡、生态修复利用、场地平整和无害化填埋处置。优先以市场的供需平衡为</w:t>
      </w:r>
      <w:r>
        <w:rPr>
          <w:rFonts w:hint="eastAsia"/>
          <w:color w:val="auto"/>
          <w:lang w:val="en-US" w:eastAsia="zh-CN"/>
        </w:rPr>
        <w:t>处置</w:t>
      </w:r>
      <w:r>
        <w:rPr>
          <w:rFonts w:hint="default"/>
          <w:color w:val="auto"/>
          <w:lang w:val="en-US" w:eastAsia="zh-CN"/>
        </w:rPr>
        <w:t>途径</w:t>
      </w:r>
      <w:r>
        <w:rPr>
          <w:rFonts w:hint="eastAsia"/>
          <w:color w:val="auto"/>
          <w:lang w:val="en-US" w:eastAsia="zh-CN"/>
        </w:rPr>
        <w:t>，但需经过电子平台审批，不得擅自倒运工程渣土及泥浆；</w:t>
      </w:r>
      <w:r>
        <w:rPr>
          <w:rFonts w:hint="default"/>
          <w:color w:val="auto"/>
          <w:lang w:val="en-US" w:eastAsia="zh-CN"/>
        </w:rPr>
        <w:t>同时积极探索表层土壤利用措施，为城市绿化等工程提供优质种植土</w:t>
      </w:r>
      <w:r>
        <w:rPr>
          <w:rFonts w:hint="eastAsia"/>
          <w:color w:val="auto"/>
          <w:lang w:val="en-US" w:eastAsia="zh-CN"/>
        </w:rPr>
        <w:t>；</w:t>
      </w:r>
      <w:r>
        <w:rPr>
          <w:rFonts w:hint="default"/>
          <w:color w:val="auto"/>
          <w:lang w:val="en-US" w:eastAsia="zh-CN"/>
        </w:rPr>
        <w:t>工程渣土中含有毒有害等污染物质的，严禁进入回填场地。</w:t>
      </w:r>
    </w:p>
    <w:p w14:paraId="246526F9">
      <w:pPr>
        <w:bidi w:val="0"/>
        <w:rPr>
          <w:rFonts w:hint="default"/>
          <w:color w:val="auto"/>
          <w:lang w:val="en-US" w:eastAsia="zh-CN"/>
        </w:rPr>
      </w:pPr>
      <w:r>
        <w:rPr>
          <w:rFonts w:hint="eastAsia"/>
          <w:color w:val="auto"/>
          <w:lang w:val="en-US" w:eastAsia="zh-CN"/>
        </w:rPr>
        <w:t>（2）</w:t>
      </w:r>
      <w:r>
        <w:rPr>
          <w:rFonts w:hint="default"/>
          <w:color w:val="auto"/>
          <w:lang w:val="en-US" w:eastAsia="zh-CN"/>
        </w:rPr>
        <w:t>工程垃圾和拆除垃圾</w:t>
      </w:r>
    </w:p>
    <w:p w14:paraId="6BBFA027">
      <w:pPr>
        <w:bidi w:val="0"/>
        <w:rPr>
          <w:rFonts w:hint="default"/>
          <w:color w:val="auto"/>
          <w:lang w:val="en-US" w:eastAsia="zh-CN"/>
        </w:rPr>
      </w:pPr>
      <w:r>
        <w:rPr>
          <w:rFonts w:hint="default"/>
          <w:color w:val="auto"/>
          <w:lang w:val="en-US" w:eastAsia="zh-CN"/>
        </w:rPr>
        <w:t>工程垃圾和拆除垃圾中可资源化利用的成分较高，其中的金属、木材、玻璃等可回收再利用，采取资源化利用为主，消纳</w:t>
      </w:r>
      <w:r>
        <w:rPr>
          <w:rFonts w:hint="eastAsia"/>
          <w:color w:val="auto"/>
          <w:lang w:val="en-US" w:eastAsia="zh-CN"/>
        </w:rPr>
        <w:t>处置</w:t>
      </w:r>
      <w:r>
        <w:rPr>
          <w:rFonts w:hint="default"/>
          <w:color w:val="auto"/>
          <w:lang w:val="en-US" w:eastAsia="zh-CN"/>
        </w:rPr>
        <w:t>为辅的处理模式。此类建筑垃圾中混凝土、</w:t>
      </w:r>
      <w:r>
        <w:rPr>
          <w:rFonts w:hint="eastAsia"/>
          <w:color w:val="auto"/>
          <w:lang w:val="en-US" w:eastAsia="zh-CN"/>
        </w:rPr>
        <w:t>砖瓦</w:t>
      </w:r>
      <w:r>
        <w:rPr>
          <w:rFonts w:hint="default"/>
          <w:color w:val="auto"/>
          <w:lang w:val="en-US" w:eastAsia="zh-CN"/>
        </w:rPr>
        <w:t>等可再利用组分占比高，再利用经济效益好，重点为规范行业的市场监管，提高规模化效应和再利用水平。同时，结合大型集中的</w:t>
      </w:r>
      <w:r>
        <w:rPr>
          <w:rFonts w:hint="eastAsia"/>
          <w:color w:val="auto"/>
          <w:lang w:val="en-US" w:eastAsia="zh-CN"/>
        </w:rPr>
        <w:t>拆除</w:t>
      </w:r>
      <w:r>
        <w:rPr>
          <w:rFonts w:hint="default"/>
          <w:color w:val="auto"/>
          <w:lang w:val="en-US" w:eastAsia="zh-CN"/>
        </w:rPr>
        <w:t>和旧改工地，设置移动式建筑垃圾处理设施，就地破碎后形成建材骨料进行利用。</w:t>
      </w:r>
    </w:p>
    <w:p w14:paraId="081F4071">
      <w:pPr>
        <w:bidi w:val="0"/>
        <w:rPr>
          <w:rFonts w:hint="default"/>
          <w:color w:val="auto"/>
          <w:lang w:val="en-US" w:eastAsia="zh-CN"/>
        </w:rPr>
      </w:pPr>
      <w:r>
        <w:rPr>
          <w:rFonts w:hint="eastAsia"/>
          <w:color w:val="auto"/>
          <w:lang w:val="en-US" w:eastAsia="zh-CN"/>
        </w:rPr>
        <w:t>（3）</w:t>
      </w:r>
      <w:r>
        <w:rPr>
          <w:rFonts w:hint="default"/>
          <w:color w:val="auto"/>
          <w:lang w:val="en-US" w:eastAsia="zh-CN"/>
        </w:rPr>
        <w:t>装修垃圾</w:t>
      </w:r>
    </w:p>
    <w:p w14:paraId="2BF1F633">
      <w:pPr>
        <w:bidi w:val="0"/>
        <w:rPr>
          <w:rFonts w:hint="default"/>
          <w:color w:val="auto"/>
          <w:lang w:val="en-US" w:eastAsia="zh-CN"/>
        </w:rPr>
      </w:pPr>
      <w:r>
        <w:rPr>
          <w:rFonts w:hint="default"/>
          <w:color w:val="auto"/>
          <w:lang w:val="en-US" w:eastAsia="zh-CN"/>
        </w:rPr>
        <w:t>装修垃圾成分较复杂，经前段分类收集后，金属、玻璃、竹木等可回收利用，砖瓦、混凝土块等进入本市</w:t>
      </w:r>
      <w:r>
        <w:rPr>
          <w:rFonts w:hint="eastAsia"/>
          <w:color w:val="auto"/>
          <w:lang w:val="en-US" w:eastAsia="zh-CN"/>
        </w:rPr>
        <w:t>建筑垃圾资源化厂</w:t>
      </w:r>
      <w:r>
        <w:rPr>
          <w:rFonts w:hint="default"/>
          <w:color w:val="auto"/>
          <w:lang w:val="en-US" w:eastAsia="zh-CN"/>
        </w:rPr>
        <w:t>资源化利用。无法直接利用和资源化利用的部分，则进入本市</w:t>
      </w:r>
      <w:r>
        <w:rPr>
          <w:rFonts w:hint="eastAsia"/>
          <w:color w:val="auto"/>
          <w:lang w:val="en-US" w:eastAsia="zh-CN"/>
        </w:rPr>
        <w:t>彩北建筑垃圾填埋场</w:t>
      </w:r>
      <w:r>
        <w:rPr>
          <w:rFonts w:hint="default"/>
          <w:color w:val="auto"/>
          <w:lang w:val="en-US" w:eastAsia="zh-CN"/>
        </w:rPr>
        <w:t>处理。</w:t>
      </w:r>
    </w:p>
    <w:p w14:paraId="6C72A4F3">
      <w:pPr>
        <w:pStyle w:val="3"/>
        <w:bidi w:val="0"/>
        <w:rPr>
          <w:rFonts w:hint="eastAsia"/>
          <w:color w:val="auto"/>
          <w:lang w:val="en-US" w:eastAsia="zh-CN"/>
        </w:rPr>
      </w:pPr>
      <w:bookmarkStart w:id="80" w:name="_Toc1005"/>
      <w:r>
        <w:rPr>
          <w:rFonts w:hint="eastAsia"/>
          <w:color w:val="auto"/>
          <w:lang w:val="en-US" w:eastAsia="zh-CN"/>
        </w:rPr>
        <w:t>7.3 建筑垃圾利用及处置设施规划</w:t>
      </w:r>
      <w:bookmarkEnd w:id="80"/>
    </w:p>
    <w:p w14:paraId="0C0103E1">
      <w:pPr>
        <w:bidi w:val="0"/>
        <w:rPr>
          <w:rFonts w:hint="default"/>
          <w:color w:val="auto"/>
          <w:lang w:val="en-US" w:eastAsia="zh-CN"/>
        </w:rPr>
      </w:pPr>
      <w:r>
        <w:rPr>
          <w:rFonts w:hint="eastAsia"/>
          <w:b/>
          <w:bCs/>
          <w:color w:val="auto"/>
          <w:lang w:val="en-US" w:eastAsia="zh-CN"/>
        </w:rPr>
        <w:t>在分析规划期内建筑垃圾处理需求基础上，经现场调研，初定本溪市于规划近期建设1座建筑垃圾资源化厂；在平山区、南芬区、明山区各建设1座转运调配场，将彩北建筑垃圾填埋场作为建筑垃圾应急场所。</w:t>
      </w:r>
    </w:p>
    <w:p w14:paraId="7BFC3B7D">
      <w:pPr>
        <w:pStyle w:val="4"/>
        <w:bidi w:val="0"/>
        <w:rPr>
          <w:rFonts w:hint="eastAsia"/>
          <w:color w:val="auto"/>
          <w:lang w:val="en-US" w:eastAsia="zh-CN"/>
        </w:rPr>
      </w:pPr>
      <w:bookmarkStart w:id="81" w:name="_Toc20415"/>
      <w:bookmarkStart w:id="82" w:name="_Toc10132"/>
      <w:r>
        <w:rPr>
          <w:rFonts w:hint="eastAsia"/>
          <w:color w:val="auto"/>
          <w:lang w:val="en-US" w:eastAsia="zh-CN"/>
        </w:rPr>
        <w:t>7.3.1 建筑垃圾资源化厂规划</w:t>
      </w:r>
      <w:bookmarkEnd w:id="81"/>
      <w:bookmarkEnd w:id="82"/>
    </w:p>
    <w:p w14:paraId="5F614AAB">
      <w:pPr>
        <w:bidi w:val="0"/>
        <w:rPr>
          <w:rFonts w:hint="eastAsia" w:ascii="Times New Roman" w:hAnsi="Times New Roman" w:eastAsia="宋体"/>
          <w:color w:val="auto"/>
          <w:lang w:val="en-US" w:eastAsia="zh-CN"/>
        </w:rPr>
      </w:pPr>
      <w:r>
        <w:rPr>
          <w:rFonts w:hint="eastAsia"/>
          <w:color w:val="auto"/>
          <w:lang w:val="en-US" w:eastAsia="zh-CN"/>
        </w:rPr>
        <w:t>建筑垃圾资源化厂</w:t>
      </w:r>
      <w:r>
        <w:rPr>
          <w:rFonts w:hint="eastAsia" w:ascii="Times New Roman" w:hAnsi="Times New Roman" w:eastAsia="宋体"/>
          <w:color w:val="auto"/>
          <w:lang w:val="en-US" w:eastAsia="zh-CN"/>
        </w:rPr>
        <w:t>的场址选择是一个综合性的工作，它影响到资源化厂的建设及建成后的经营管理，关系到资源化厂的建设是否真正能够实现垃圾处理减量化、资源化、无害化的总目标要求。因此，本次规划</w:t>
      </w:r>
      <w:r>
        <w:rPr>
          <w:rFonts w:hint="eastAsia"/>
          <w:color w:val="auto"/>
          <w:lang w:val="en-US" w:eastAsia="zh-CN"/>
        </w:rPr>
        <w:t>建筑垃圾资源化厂</w:t>
      </w:r>
      <w:r>
        <w:rPr>
          <w:rFonts w:hint="eastAsia" w:ascii="Times New Roman" w:hAnsi="Times New Roman" w:eastAsia="宋体"/>
          <w:color w:val="auto"/>
          <w:lang w:val="en-US" w:eastAsia="zh-CN"/>
        </w:rPr>
        <w:t>的选址既要符合</w:t>
      </w:r>
      <w:r>
        <w:rPr>
          <w:rFonts w:hint="eastAsia"/>
          <w:color w:val="auto"/>
          <w:lang w:val="en-US" w:eastAsia="zh-CN"/>
        </w:rPr>
        <w:t>国土空间总体规划</w:t>
      </w:r>
      <w:r>
        <w:rPr>
          <w:rFonts w:hint="eastAsia" w:ascii="Times New Roman" w:hAnsi="Times New Roman" w:eastAsia="宋体"/>
          <w:color w:val="auto"/>
          <w:lang w:val="en-US" w:eastAsia="zh-CN"/>
        </w:rPr>
        <w:t>和环境卫生专项规划的要求，还要满足相关的国家标准要求。</w:t>
      </w:r>
    </w:p>
    <w:p w14:paraId="1211488C">
      <w:pPr>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1、场地选址原则</w:t>
      </w:r>
    </w:p>
    <w:p w14:paraId="58F5988C">
      <w:pPr>
        <w:bidi w:val="0"/>
        <w:rPr>
          <w:rFonts w:hint="eastAsia" w:ascii="Times New Roman" w:hAnsi="Times New Roman" w:eastAsia="宋体"/>
          <w:b w:val="0"/>
          <w:bCs w:val="0"/>
          <w:color w:val="auto"/>
          <w:lang w:val="en-US" w:eastAsia="zh-CN"/>
        </w:rPr>
      </w:pPr>
      <w:r>
        <w:rPr>
          <w:rFonts w:hint="eastAsia" w:ascii="Times New Roman" w:hAnsi="Times New Roman" w:eastAsia="宋体"/>
          <w:b w:val="0"/>
          <w:bCs w:val="0"/>
          <w:color w:val="auto"/>
          <w:lang w:val="en-US" w:eastAsia="zh-CN"/>
        </w:rPr>
        <w:t>（1）防止污染角度考虑的安全原则：安全原则是建筑垃圾资源化厂选址的基本原则。</w:t>
      </w:r>
      <w:r>
        <w:rPr>
          <w:rFonts w:hint="eastAsia"/>
          <w:b w:val="0"/>
          <w:bCs w:val="0"/>
          <w:color w:val="auto"/>
          <w:lang w:val="en-US" w:eastAsia="zh-CN"/>
        </w:rPr>
        <w:t>建筑垃圾资源化厂</w:t>
      </w:r>
      <w:r>
        <w:rPr>
          <w:rFonts w:hint="eastAsia" w:ascii="Times New Roman" w:hAnsi="Times New Roman" w:eastAsia="宋体"/>
          <w:b w:val="0"/>
          <w:bCs w:val="0"/>
          <w:color w:val="auto"/>
          <w:lang w:val="en-US" w:eastAsia="zh-CN"/>
        </w:rPr>
        <w:t>建设中和使用后应保证对整个外部环境的影响最小，不使场地周围的水、大气、土壤环境发生恶化。</w:t>
      </w:r>
    </w:p>
    <w:p w14:paraId="53C3D691">
      <w:pPr>
        <w:bidi w:val="0"/>
        <w:rPr>
          <w:rFonts w:hint="eastAsia" w:ascii="Times New Roman" w:hAnsi="Times New Roman" w:eastAsia="宋体"/>
          <w:b w:val="0"/>
          <w:bCs w:val="0"/>
          <w:color w:val="auto"/>
          <w:lang w:val="en-US" w:eastAsia="zh-CN"/>
        </w:rPr>
      </w:pPr>
      <w:r>
        <w:rPr>
          <w:rFonts w:hint="eastAsia" w:ascii="Times New Roman" w:hAnsi="Times New Roman" w:eastAsia="宋体"/>
          <w:b w:val="0"/>
          <w:bCs w:val="0"/>
          <w:color w:val="auto"/>
          <w:lang w:val="en-US" w:eastAsia="zh-CN"/>
        </w:rPr>
        <w:t>（2）经济角度考虑的经济合理原则：经济原则是指</w:t>
      </w:r>
      <w:r>
        <w:rPr>
          <w:rFonts w:hint="eastAsia"/>
          <w:b w:val="0"/>
          <w:bCs w:val="0"/>
          <w:color w:val="auto"/>
          <w:lang w:val="en-US" w:eastAsia="zh-CN"/>
        </w:rPr>
        <w:t>建筑垃圾资源化厂</w:t>
      </w:r>
      <w:r>
        <w:rPr>
          <w:rFonts w:hint="eastAsia" w:ascii="Times New Roman" w:hAnsi="Times New Roman" w:eastAsia="宋体"/>
          <w:b w:val="0"/>
          <w:bCs w:val="0"/>
          <w:color w:val="auto"/>
          <w:lang w:val="en-US" w:eastAsia="zh-CN"/>
        </w:rPr>
        <w:t>从建设到使用过程中，单位垃圾的处理费用最低，</w:t>
      </w:r>
      <w:r>
        <w:rPr>
          <w:rFonts w:hint="eastAsia"/>
          <w:b w:val="0"/>
          <w:bCs w:val="0"/>
          <w:color w:val="auto"/>
          <w:lang w:val="en-US" w:eastAsia="zh-CN"/>
        </w:rPr>
        <w:t>建筑垃圾资源化厂</w:t>
      </w:r>
      <w:r>
        <w:rPr>
          <w:rFonts w:hint="eastAsia" w:ascii="Times New Roman" w:hAnsi="Times New Roman" w:eastAsia="宋体"/>
          <w:b w:val="0"/>
          <w:bCs w:val="0"/>
          <w:color w:val="auto"/>
          <w:lang w:val="en-US" w:eastAsia="zh-CN"/>
        </w:rPr>
        <w:t>使用后资源化价值最高。即要求以合理的技术经济方案，以较少的投资达到最理想经济效果，实现环保的目的。</w:t>
      </w:r>
    </w:p>
    <w:p w14:paraId="052A308E">
      <w:pPr>
        <w:bidi w:val="0"/>
        <w:rPr>
          <w:rFonts w:hint="default" w:ascii="Times New Roman" w:hAnsi="Times New Roman" w:eastAsia="宋体"/>
          <w:b w:val="0"/>
          <w:bCs w:val="0"/>
          <w:color w:val="auto"/>
          <w:lang w:val="en-US" w:eastAsia="zh-CN"/>
        </w:rPr>
      </w:pPr>
      <w:r>
        <w:rPr>
          <w:rFonts w:hint="eastAsia" w:ascii="Times New Roman" w:hAnsi="Times New Roman" w:eastAsia="宋体"/>
          <w:b w:val="0"/>
          <w:bCs w:val="0"/>
          <w:color w:val="auto"/>
          <w:lang w:val="en-US" w:eastAsia="zh-CN"/>
        </w:rPr>
        <w:t>（3）建设角度考虑的可实施性原则：可实施性原则是指不占用耕地，土地性质符合选址要求的非耕地、非林地等。</w:t>
      </w:r>
    </w:p>
    <w:p w14:paraId="19FA4F1F">
      <w:pPr>
        <w:rPr>
          <w:rFonts w:hint="default" w:ascii="Times New Roman" w:hAnsi="Times New Roman" w:eastAsia="宋体"/>
          <w:color w:val="auto"/>
          <w:lang w:val="en-US" w:eastAsia="zh-CN"/>
        </w:rPr>
      </w:pPr>
      <w:r>
        <w:rPr>
          <w:rFonts w:hint="eastAsia" w:ascii="Times New Roman" w:hAnsi="Times New Roman" w:eastAsia="宋体"/>
          <w:b/>
          <w:bCs/>
          <w:color w:val="auto"/>
          <w:lang w:val="en-US" w:eastAsia="zh-CN"/>
        </w:rPr>
        <w:t>2、场地选址技术要求</w:t>
      </w:r>
    </w:p>
    <w:p w14:paraId="491DEDFB">
      <w:pPr>
        <w:rPr>
          <w:rFonts w:hint="default" w:ascii="Times New Roman" w:hAnsi="Times New Roman" w:eastAsia="宋体"/>
          <w:color w:val="auto"/>
          <w:lang w:eastAsia="zh-CN"/>
        </w:rPr>
      </w:pPr>
      <w:r>
        <w:rPr>
          <w:rFonts w:hint="eastAsia" w:ascii="Times New Roman" w:hAnsi="Times New Roman" w:eastAsia="宋体"/>
          <w:color w:val="auto"/>
          <w:lang w:val="en-US" w:eastAsia="zh-CN"/>
        </w:rPr>
        <w:t>（1）应符合当地</w:t>
      </w:r>
      <w:r>
        <w:rPr>
          <w:rFonts w:hint="eastAsia"/>
          <w:color w:val="auto"/>
          <w:lang w:val="en-US" w:eastAsia="zh-CN"/>
        </w:rPr>
        <w:t>国土空间总体规划</w:t>
      </w:r>
      <w:r>
        <w:rPr>
          <w:rFonts w:hint="eastAsia" w:ascii="Times New Roman" w:hAnsi="Times New Roman" w:eastAsia="宋体"/>
          <w:color w:val="auto"/>
          <w:lang w:val="en-US" w:eastAsia="zh-CN"/>
        </w:rPr>
        <w:t>、环境卫生设施专项规划以及国家现行有关标准的规定。</w:t>
      </w:r>
    </w:p>
    <w:p w14:paraId="5B2C5C4F">
      <w:pPr>
        <w:rPr>
          <w:rFonts w:hint="default" w:ascii="Times New Roman" w:hAnsi="Times New Roman" w:eastAsia="宋体"/>
          <w:color w:val="auto"/>
          <w:lang w:eastAsia="zh-CN"/>
        </w:rPr>
      </w:pPr>
      <w:r>
        <w:rPr>
          <w:rFonts w:hint="eastAsia" w:ascii="Times New Roman" w:hAnsi="Times New Roman" w:eastAsia="宋体"/>
          <w:color w:val="auto"/>
          <w:lang w:val="en-US" w:eastAsia="zh-CN"/>
        </w:rPr>
        <w:t>（2）</w:t>
      </w:r>
      <w:r>
        <w:rPr>
          <w:rFonts w:hint="default" w:ascii="Times New Roman" w:hAnsi="Times New Roman" w:eastAsia="宋体"/>
          <w:color w:val="auto"/>
          <w:lang w:val="en-US" w:eastAsia="zh-CN"/>
        </w:rPr>
        <w:t>应与当地的大气防护、水土资源保护、自然保护及生态平衡要求相一致。</w:t>
      </w:r>
    </w:p>
    <w:p w14:paraId="3027E149">
      <w:pPr>
        <w:rPr>
          <w:rFonts w:hint="default" w:ascii="Times New Roman" w:hAnsi="Times New Roman" w:eastAsia="宋体"/>
          <w:color w:val="auto"/>
          <w:lang w:eastAsia="zh-CN"/>
        </w:rPr>
      </w:pPr>
      <w:r>
        <w:rPr>
          <w:rFonts w:hint="eastAsia" w:ascii="Times New Roman" w:hAnsi="Times New Roman" w:eastAsia="宋体"/>
          <w:color w:val="auto"/>
          <w:lang w:val="en-US" w:eastAsia="zh-CN"/>
        </w:rPr>
        <w:t>（3）</w:t>
      </w:r>
      <w:r>
        <w:rPr>
          <w:rFonts w:hint="default" w:ascii="Times New Roman" w:hAnsi="Times New Roman" w:eastAsia="宋体"/>
          <w:color w:val="auto"/>
          <w:lang w:val="en-US" w:eastAsia="zh-CN"/>
        </w:rPr>
        <w:t>工程地质与水文地质条件应满足设施建设和运行的要求，不应选在发断层、滑坡、泥石流、沼泽、流沙及采矿陷落区等地区。</w:t>
      </w:r>
    </w:p>
    <w:p w14:paraId="0BF55BE4">
      <w:pP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（4）</w:t>
      </w:r>
      <w:r>
        <w:rPr>
          <w:rFonts w:hint="default" w:ascii="Times New Roman" w:hAnsi="Times New Roman" w:eastAsia="宋体"/>
          <w:color w:val="auto"/>
          <w:lang w:val="en-US" w:eastAsia="zh-CN"/>
        </w:rPr>
        <w:t>应交通方便、运距合理，并应综合</w:t>
      </w:r>
      <w:r>
        <w:rPr>
          <w:rFonts w:hint="eastAsia"/>
          <w:color w:val="auto"/>
          <w:lang w:val="en-US" w:eastAsia="zh-CN"/>
        </w:rPr>
        <w:t>建筑垃圾资源化厂</w:t>
      </w:r>
      <w:r>
        <w:rPr>
          <w:rFonts w:hint="default" w:ascii="Times New Roman" w:hAnsi="Times New Roman" w:eastAsia="宋体"/>
          <w:color w:val="auto"/>
          <w:lang w:val="en-US" w:eastAsia="zh-CN"/>
        </w:rPr>
        <w:t>的服务区域、建筑垃圾收集运输能力、产品出路、预留发展等因素。</w:t>
      </w:r>
    </w:p>
    <w:p w14:paraId="3CD92494">
      <w:pP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（5）</w:t>
      </w:r>
      <w:r>
        <w:rPr>
          <w:rFonts w:hint="default" w:ascii="Times New Roman" w:hAnsi="Times New Roman" w:eastAsia="宋体"/>
          <w:color w:val="auto"/>
          <w:lang w:val="en-US" w:eastAsia="zh-CN"/>
        </w:rPr>
        <w:t>应有良好的电力、给水和排水条件。</w:t>
      </w:r>
    </w:p>
    <w:p w14:paraId="7324CB4D">
      <w:pP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（6）应位于地下水贫乏地区、环境保护目标区域的地下水流向的下游地区，及夏季主导风向下风向。</w:t>
      </w:r>
    </w:p>
    <w:p w14:paraId="5BA4D0C9">
      <w:pP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（7）厂址不应受洪水、潮水或内涝的威胁。当必须建在该类地区时，应有可靠的防洪、排涝措施，其防洪标准应符合现行国家标准《防洪标准》GB 50201-2014的有关规定。</w:t>
      </w:r>
    </w:p>
    <w:p w14:paraId="7287810A">
      <w:pPr>
        <w:rPr>
          <w:rFonts w:hint="eastAsia"/>
          <w:color w:val="auto"/>
          <w:lang w:val="en-US" w:eastAsia="zh-CN"/>
        </w:rPr>
      </w:pPr>
      <w:r>
        <w:rPr>
          <w:rFonts w:hint="eastAsia"/>
          <w:color w:val="auto"/>
          <w:lang w:val="en-US" w:eastAsia="zh-CN"/>
        </w:rPr>
        <w:t>（8）厂址与机关、学校、医院和居民住宅等敏感区域距离以环评报告为准。</w:t>
      </w:r>
    </w:p>
    <w:p w14:paraId="74E6DD4C">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另外，厂址选址还应满足其他法律法规和标准规范的相关规定。同时，厂址选择应在对场地的地形、地貌、植被、地质、水文、气象、供电、给排水、交通运输及场址周围人群居住情况等进行综合分析，对选址方案进行技术、经济、社会及环境比较的基础上，完成选址报告或可行性研究报告，最终确定选址。</w:t>
      </w:r>
    </w:p>
    <w:p w14:paraId="2402E02D">
      <w:pPr>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3、选址条件分析</w:t>
      </w:r>
    </w:p>
    <w:p w14:paraId="1B585487">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本次规划遵循以上的布局指导原则和具体选址要求，本规划根据区域内建筑垃圾产生量、场址自然条件、地形地貌特征、服务年限及技术、经济合理性等因素对</w:t>
      </w:r>
      <w:r>
        <w:rPr>
          <w:rFonts w:hint="eastAsia"/>
          <w:color w:val="auto"/>
          <w:lang w:val="en-US" w:eastAsia="zh-CN"/>
        </w:rPr>
        <w:t>建筑垃圾资源化厂</w:t>
      </w:r>
      <w:r>
        <w:rPr>
          <w:rFonts w:hint="default" w:ascii="Times New Roman" w:hAnsi="Times New Roman" w:eastAsia="宋体"/>
          <w:color w:val="auto"/>
          <w:lang w:val="en-US" w:eastAsia="zh-CN"/>
        </w:rPr>
        <w:t>进行了认真的现场踏勘，具体情况见</w:t>
      </w:r>
      <w:r>
        <w:rPr>
          <w:rFonts w:hint="eastAsia" w:ascii="Times New Roman" w:hAnsi="Times New Roman" w:eastAsia="宋体"/>
          <w:color w:val="auto"/>
          <w:lang w:val="en-US" w:eastAsia="zh-CN"/>
        </w:rPr>
        <w:t>下</w:t>
      </w:r>
      <w:r>
        <w:rPr>
          <w:rFonts w:hint="default" w:ascii="Times New Roman" w:hAnsi="Times New Roman" w:eastAsia="宋体"/>
          <w:color w:val="auto"/>
          <w:lang w:val="en-US" w:eastAsia="zh-CN"/>
        </w:rPr>
        <w:t>表：</w:t>
      </w:r>
    </w:p>
    <w:p w14:paraId="62013E33">
      <w:pPr>
        <w:kinsoku w:val="0"/>
        <w:autoSpaceDE w:val="0"/>
        <w:autoSpaceDN w:val="0"/>
        <w:bidi w:val="0"/>
        <w:adjustRightInd w:val="0"/>
        <w:snapToGrid w:val="0"/>
        <w:spacing w:line="360" w:lineRule="auto"/>
        <w:ind w:firstLine="0" w:firstLineChars="0"/>
        <w:jc w:val="center"/>
        <w:textAlignment w:val="baseline"/>
        <w:rPr>
          <w:rFonts w:hint="default" w:ascii="Times New Roman" w:hAnsi="Times New Roman" w:eastAsia="宋体" w:cs="Arial"/>
          <w:b/>
          <w:bCs/>
          <w:snapToGrid w:val="0"/>
          <w:color w:val="auto"/>
          <w:kern w:val="0"/>
          <w:sz w:val="24"/>
          <w:szCs w:val="20"/>
          <w:highlight w:val="none"/>
          <w:lang w:val="en-US" w:eastAsia="zh-CN"/>
        </w:rPr>
      </w:pPr>
      <w:r>
        <w:rPr>
          <w:rFonts w:hint="eastAsia" w:ascii="Times New Roman" w:hAnsi="Times New Roman" w:eastAsia="宋体" w:cs="Arial"/>
          <w:b/>
          <w:bCs/>
          <w:snapToGrid w:val="0"/>
          <w:color w:val="auto"/>
          <w:kern w:val="0"/>
          <w:sz w:val="24"/>
          <w:szCs w:val="20"/>
          <w:highlight w:val="none"/>
          <w:lang w:val="en-US" w:eastAsia="zh-CN"/>
        </w:rPr>
        <w:t xml:space="preserve">表7.3-1 </w:t>
      </w:r>
      <w:r>
        <w:rPr>
          <w:rFonts w:hint="eastAsia" w:cs="Arial"/>
          <w:b/>
          <w:bCs/>
          <w:snapToGrid w:val="0"/>
          <w:color w:val="auto"/>
          <w:kern w:val="0"/>
          <w:sz w:val="24"/>
          <w:szCs w:val="20"/>
          <w:highlight w:val="none"/>
          <w:lang w:val="en-US" w:eastAsia="zh-CN"/>
        </w:rPr>
        <w:t>建筑垃圾资源化厂</w:t>
      </w:r>
      <w:r>
        <w:rPr>
          <w:rFonts w:hint="eastAsia" w:ascii="Times New Roman" w:hAnsi="Times New Roman" w:eastAsia="宋体" w:cs="Arial"/>
          <w:b/>
          <w:bCs/>
          <w:snapToGrid w:val="0"/>
          <w:color w:val="auto"/>
          <w:kern w:val="0"/>
          <w:sz w:val="24"/>
          <w:szCs w:val="20"/>
          <w:highlight w:val="none"/>
          <w:lang w:val="en-US" w:eastAsia="zh-CN"/>
        </w:rPr>
        <w:t>选址条件</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822"/>
        <w:gridCol w:w="2073"/>
        <w:gridCol w:w="2094"/>
        <w:gridCol w:w="1654"/>
        <w:gridCol w:w="2250"/>
      </w:tblGrid>
      <w:tr w14:paraId="2144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273" w:type="pct"/>
            <w:vAlign w:val="center"/>
          </w:tcPr>
          <w:p w14:paraId="48B6B97E">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序号</w:t>
            </w:r>
          </w:p>
        </w:tc>
        <w:tc>
          <w:tcPr>
            <w:tcW w:w="870" w:type="pct"/>
            <w:vAlign w:val="center"/>
          </w:tcPr>
          <w:p w14:paraId="543F01CA">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名称</w:t>
            </w:r>
          </w:p>
        </w:tc>
        <w:tc>
          <w:tcPr>
            <w:tcW w:w="990" w:type="pct"/>
            <w:vAlign w:val="center"/>
          </w:tcPr>
          <w:p w14:paraId="264D747B">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位置</w:t>
            </w:r>
          </w:p>
        </w:tc>
        <w:tc>
          <w:tcPr>
            <w:tcW w:w="1000" w:type="pct"/>
            <w:vAlign w:val="center"/>
          </w:tcPr>
          <w:p w14:paraId="69BC3310">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地形地貌</w:t>
            </w:r>
          </w:p>
        </w:tc>
        <w:tc>
          <w:tcPr>
            <w:tcW w:w="790" w:type="pct"/>
            <w:vAlign w:val="center"/>
          </w:tcPr>
          <w:p w14:paraId="704CF8FD">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市政条件</w:t>
            </w:r>
          </w:p>
        </w:tc>
        <w:tc>
          <w:tcPr>
            <w:tcW w:w="1074" w:type="pct"/>
            <w:vAlign w:val="center"/>
          </w:tcPr>
          <w:p w14:paraId="62644383">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用地面积</w:t>
            </w:r>
          </w:p>
        </w:tc>
      </w:tr>
      <w:tr w14:paraId="627B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3" w:type="pct"/>
            <w:vAlign w:val="center"/>
          </w:tcPr>
          <w:p w14:paraId="33951B5C">
            <w:pPr>
              <w:widowControl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1</w:t>
            </w:r>
          </w:p>
        </w:tc>
        <w:tc>
          <w:tcPr>
            <w:tcW w:w="870" w:type="pct"/>
            <w:vAlign w:val="center"/>
          </w:tcPr>
          <w:p w14:paraId="6613B7BC">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本溪市建筑垃圾资源化厂</w:t>
            </w:r>
          </w:p>
        </w:tc>
        <w:tc>
          <w:tcPr>
            <w:tcW w:w="990" w:type="pct"/>
            <w:vAlign w:val="center"/>
          </w:tcPr>
          <w:p w14:paraId="5C6CB2E3">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牛心台上牛村</w:t>
            </w:r>
          </w:p>
        </w:tc>
        <w:tc>
          <w:tcPr>
            <w:tcW w:w="1000" w:type="pct"/>
            <w:vAlign w:val="center"/>
          </w:tcPr>
          <w:p w14:paraId="164C2468">
            <w:pPr>
              <w:widowControl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平坦草地</w:t>
            </w:r>
          </w:p>
        </w:tc>
        <w:tc>
          <w:tcPr>
            <w:tcW w:w="790" w:type="pct"/>
            <w:vAlign w:val="center"/>
          </w:tcPr>
          <w:p w14:paraId="1B16A30D">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市政条件较差</w:t>
            </w:r>
          </w:p>
        </w:tc>
        <w:tc>
          <w:tcPr>
            <w:tcW w:w="1074" w:type="pct"/>
            <w:vAlign w:val="center"/>
          </w:tcPr>
          <w:p w14:paraId="754B68FA">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67695.7平方米</w:t>
            </w:r>
          </w:p>
        </w:tc>
      </w:tr>
      <w:tr w14:paraId="2024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3" w:type="pct"/>
            <w:vAlign w:val="center"/>
          </w:tcPr>
          <w:p w14:paraId="0A70E86E">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2</w:t>
            </w:r>
          </w:p>
        </w:tc>
        <w:tc>
          <w:tcPr>
            <w:tcW w:w="870" w:type="pct"/>
            <w:vAlign w:val="center"/>
          </w:tcPr>
          <w:p w14:paraId="44CDFA5A">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本溪市建筑垃圾资源化厂</w:t>
            </w:r>
          </w:p>
          <w:p w14:paraId="49C783E9">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（备用选址）</w:t>
            </w:r>
          </w:p>
        </w:tc>
        <w:tc>
          <w:tcPr>
            <w:tcW w:w="990" w:type="pct"/>
            <w:vAlign w:val="center"/>
          </w:tcPr>
          <w:p w14:paraId="7CDFF9DE">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现状彩北建筑垃圾填埋场</w:t>
            </w:r>
          </w:p>
        </w:tc>
        <w:tc>
          <w:tcPr>
            <w:tcW w:w="1000" w:type="pct"/>
            <w:vAlign w:val="center"/>
          </w:tcPr>
          <w:p w14:paraId="4D108C5E">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现状为建筑垃圾填埋场，周边有现状厂房</w:t>
            </w:r>
          </w:p>
        </w:tc>
        <w:tc>
          <w:tcPr>
            <w:tcW w:w="790" w:type="pct"/>
            <w:vAlign w:val="center"/>
          </w:tcPr>
          <w:p w14:paraId="3DD5E527">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市政条件齐全，道路条件良好</w:t>
            </w:r>
          </w:p>
        </w:tc>
        <w:tc>
          <w:tcPr>
            <w:tcW w:w="1074" w:type="pct"/>
            <w:vAlign w:val="center"/>
          </w:tcPr>
          <w:p w14:paraId="5F649B73">
            <w:pPr>
              <w:widowControl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约15000平</w:t>
            </w:r>
          </w:p>
        </w:tc>
      </w:tr>
      <w:tr w14:paraId="72B8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3" w:type="pct"/>
            <w:vAlign w:val="center"/>
          </w:tcPr>
          <w:p w14:paraId="25361A5D">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3</w:t>
            </w:r>
          </w:p>
        </w:tc>
        <w:tc>
          <w:tcPr>
            <w:tcW w:w="870" w:type="pct"/>
            <w:vAlign w:val="center"/>
          </w:tcPr>
          <w:p w14:paraId="1C86E591">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本溪市</w:t>
            </w:r>
            <w:r>
              <w:rPr>
                <w:rFonts w:hint="eastAsia"/>
                <w:color w:val="auto"/>
                <w:sz w:val="24"/>
                <w:szCs w:val="20"/>
                <w:highlight w:val="none"/>
                <w:vertAlign w:val="baseline"/>
                <w:lang w:val="en-US" w:eastAsia="zh-CN"/>
              </w:rPr>
              <w:t>建筑垃圾资源化厂</w:t>
            </w:r>
            <w:r>
              <w:rPr>
                <w:rFonts w:hint="eastAsia" w:ascii="Times New Roman" w:hAnsi="Times New Roman" w:eastAsia="宋体"/>
                <w:color w:val="auto"/>
                <w:sz w:val="24"/>
                <w:szCs w:val="20"/>
                <w:highlight w:val="none"/>
                <w:vertAlign w:val="baseline"/>
                <w:lang w:val="en-US" w:eastAsia="zh-CN"/>
              </w:rPr>
              <w:t>（备用选址）</w:t>
            </w:r>
          </w:p>
        </w:tc>
        <w:tc>
          <w:tcPr>
            <w:tcW w:w="990" w:type="pct"/>
            <w:vAlign w:val="center"/>
          </w:tcPr>
          <w:p w14:paraId="4F523F74">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火连寨清真寺</w:t>
            </w:r>
            <w:r>
              <w:rPr>
                <w:rFonts w:hint="eastAsia" w:ascii="Times New Roman" w:hAnsi="Times New Roman" w:eastAsia="宋体"/>
                <w:color w:val="auto"/>
                <w:sz w:val="24"/>
                <w:szCs w:val="20"/>
                <w:highlight w:val="none"/>
                <w:vertAlign w:val="baseline"/>
                <w:lang w:val="en-US" w:eastAsia="zh-CN"/>
              </w:rPr>
              <w:t>旁</w:t>
            </w:r>
          </w:p>
        </w:tc>
        <w:tc>
          <w:tcPr>
            <w:tcW w:w="1000" w:type="pct"/>
            <w:vAlign w:val="center"/>
          </w:tcPr>
          <w:p w14:paraId="16292380">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现状为草地</w:t>
            </w:r>
          </w:p>
        </w:tc>
        <w:tc>
          <w:tcPr>
            <w:tcW w:w="790" w:type="pct"/>
            <w:vAlign w:val="center"/>
          </w:tcPr>
          <w:p w14:paraId="46F55C17">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市政条件齐全，道路条件良好</w:t>
            </w:r>
          </w:p>
        </w:tc>
        <w:tc>
          <w:tcPr>
            <w:tcW w:w="1074" w:type="pct"/>
            <w:vAlign w:val="center"/>
          </w:tcPr>
          <w:p w14:paraId="369B47B2">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4</w:t>
            </w:r>
            <w:r>
              <w:rPr>
                <w:rFonts w:hint="eastAsia" w:ascii="Times New Roman" w:hAnsi="Times New Roman" w:eastAsia="宋体"/>
                <w:color w:val="auto"/>
                <w:sz w:val="24"/>
                <w:szCs w:val="20"/>
                <w:highlight w:val="none"/>
                <w:vertAlign w:val="baseline"/>
                <w:lang w:val="en-US" w:eastAsia="zh-CN"/>
              </w:rPr>
              <w:t>0000-</w:t>
            </w:r>
            <w:r>
              <w:rPr>
                <w:rFonts w:hint="eastAsia"/>
                <w:color w:val="auto"/>
                <w:sz w:val="24"/>
                <w:szCs w:val="20"/>
                <w:highlight w:val="none"/>
                <w:vertAlign w:val="baseline"/>
                <w:lang w:val="en-US" w:eastAsia="zh-CN"/>
              </w:rPr>
              <w:t>5</w:t>
            </w:r>
            <w:r>
              <w:rPr>
                <w:rFonts w:hint="eastAsia" w:ascii="Times New Roman" w:hAnsi="Times New Roman" w:eastAsia="宋体"/>
                <w:color w:val="auto"/>
                <w:sz w:val="24"/>
                <w:szCs w:val="20"/>
                <w:highlight w:val="none"/>
                <w:vertAlign w:val="baseline"/>
                <w:lang w:val="en-US" w:eastAsia="zh-CN"/>
              </w:rPr>
              <w:t>0000平方米</w:t>
            </w:r>
          </w:p>
        </w:tc>
      </w:tr>
    </w:tbl>
    <w:p w14:paraId="78890ACD">
      <w:pPr>
        <w:rPr>
          <w:rFonts w:hint="eastAsia" w:ascii="Times New Roman" w:hAnsi="Times New Roman" w:eastAsia="宋体"/>
          <w:color w:val="auto"/>
          <w:sz w:val="11"/>
          <w:szCs w:val="8"/>
          <w:highlight w:val="yellow"/>
          <w:lang w:val="en-US" w:eastAsia="zh-CN"/>
        </w:rPr>
      </w:pPr>
    </w:p>
    <w:p w14:paraId="3CC3A2D7">
      <w:pPr>
        <w:rPr>
          <w:rFonts w:hint="eastAsia" w:ascii="Times New Roman" w:hAnsi="Times New Roman" w:eastAsia="宋体"/>
          <w:b/>
          <w:bCs/>
          <w:color w:val="auto"/>
          <w:highlight w:val="yellow"/>
          <w:lang w:val="en-US" w:eastAsia="zh-CN"/>
        </w:rPr>
      </w:pPr>
    </w:p>
    <w:p w14:paraId="27E06E03">
      <w:pPr>
        <w:ind w:left="0" w:leftChars="0" w:firstLine="0" w:firstLineChars="0"/>
        <w:jc w:val="center"/>
        <w:rPr>
          <w:rFonts w:hint="eastAsia" w:ascii="Times New Roman" w:hAnsi="Times New Roman" w:eastAsia="宋体"/>
          <w:b/>
          <w:bCs/>
          <w:color w:val="auto"/>
          <w:highlight w:val="yellow"/>
          <w:lang w:val="en-US" w:eastAsia="zh-CN"/>
        </w:rPr>
      </w:pPr>
      <w:r>
        <w:rPr>
          <w:color w:val="auto"/>
        </w:rPr>
        <w:drawing>
          <wp:inline distT="0" distB="0" distL="114300" distR="114300">
            <wp:extent cx="4951095" cy="3272155"/>
            <wp:effectExtent l="0" t="0" r="1905"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7"/>
                    <a:stretch>
                      <a:fillRect/>
                    </a:stretch>
                  </pic:blipFill>
                  <pic:spPr>
                    <a:xfrm>
                      <a:off x="0" y="0"/>
                      <a:ext cx="4951095" cy="3272155"/>
                    </a:xfrm>
                    <a:prstGeom prst="rect">
                      <a:avLst/>
                    </a:prstGeom>
                    <a:noFill/>
                    <a:ln>
                      <a:noFill/>
                    </a:ln>
                  </pic:spPr>
                </pic:pic>
              </a:graphicData>
            </a:graphic>
          </wp:inline>
        </w:drawing>
      </w:r>
    </w:p>
    <w:p w14:paraId="67DCEC8F">
      <w:pPr>
        <w:pStyle w:val="23"/>
        <w:ind w:left="0" w:leftChars="0" w:firstLine="0" w:firstLineChars="0"/>
        <w:jc w:val="center"/>
        <w:rPr>
          <w:rFonts w:hint="eastAsia"/>
          <w:b/>
          <w:bCs/>
          <w:color w:val="auto"/>
          <w:sz w:val="24"/>
          <w:szCs w:val="20"/>
          <w:highlight w:val="none"/>
          <w:lang w:val="en-US" w:eastAsia="zh-CN"/>
        </w:rPr>
      </w:pPr>
      <w:r>
        <w:rPr>
          <w:rFonts w:hint="eastAsia"/>
          <w:b/>
          <w:bCs/>
          <w:color w:val="auto"/>
          <w:sz w:val="24"/>
          <w:szCs w:val="20"/>
          <w:highlight w:val="none"/>
          <w:lang w:val="en-US" w:eastAsia="zh-CN"/>
        </w:rPr>
        <w:t>图7.2-1 1#本溪市建筑垃圾资源化厂选址图</w:t>
      </w:r>
    </w:p>
    <w:p w14:paraId="52105647">
      <w:pPr>
        <w:ind w:left="0" w:leftChars="0" w:firstLine="0" w:firstLineChars="0"/>
        <w:rPr>
          <w:rFonts w:hint="eastAsia" w:ascii="Times New Roman" w:hAnsi="Times New Roman" w:eastAsia="宋体"/>
          <w:b/>
          <w:bCs/>
          <w:color w:val="auto"/>
          <w:highlight w:val="none"/>
          <w:lang w:val="en-US" w:eastAsia="zh-CN"/>
        </w:rPr>
      </w:pPr>
    </w:p>
    <w:p w14:paraId="69DFFBE6">
      <w:pPr>
        <w:ind w:left="0" w:leftChars="0" w:firstLine="0" w:firstLineChars="0"/>
        <w:rPr>
          <w:rFonts w:hint="eastAsia" w:ascii="Times New Roman" w:hAnsi="Times New Roman" w:eastAsia="宋体"/>
          <w:b/>
          <w:bCs/>
          <w:color w:val="auto"/>
          <w:highlight w:val="none"/>
          <w:lang w:val="en-US" w:eastAsia="zh-CN"/>
        </w:rPr>
      </w:pPr>
      <w:r>
        <w:rPr>
          <w:rFonts w:hint="eastAsia" w:ascii="Times New Roman" w:hAnsi="Times New Roman" w:eastAsia="宋体"/>
          <w:b/>
          <w:bCs/>
          <w:color w:val="auto"/>
          <w:highlight w:val="none"/>
          <w:lang w:val="en-US" w:eastAsia="zh-CN"/>
        </w:rPr>
        <w:drawing>
          <wp:inline distT="0" distB="0" distL="114300" distR="114300">
            <wp:extent cx="3367405" cy="2319020"/>
            <wp:effectExtent l="0" t="0" r="4445" b="50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8"/>
                    <a:stretch>
                      <a:fillRect/>
                    </a:stretch>
                  </pic:blipFill>
                  <pic:spPr>
                    <a:xfrm>
                      <a:off x="0" y="0"/>
                      <a:ext cx="3367405" cy="2319020"/>
                    </a:xfrm>
                    <a:prstGeom prst="rect">
                      <a:avLst/>
                    </a:prstGeom>
                    <a:noFill/>
                    <a:ln>
                      <a:noFill/>
                    </a:ln>
                  </pic:spPr>
                </pic:pic>
              </a:graphicData>
            </a:graphic>
          </wp:inline>
        </w:drawing>
      </w:r>
      <w:r>
        <w:rPr>
          <w:rFonts w:hint="eastAsia" w:ascii="Times New Roman" w:hAnsi="Times New Roman" w:eastAsia="宋体"/>
          <w:b/>
          <w:bCs/>
          <w:color w:val="auto"/>
          <w:highlight w:val="none"/>
          <w:lang w:val="en-US" w:eastAsia="zh-CN"/>
        </w:rPr>
        <w:drawing>
          <wp:inline distT="0" distB="0" distL="114300" distR="114300">
            <wp:extent cx="2934970" cy="2312035"/>
            <wp:effectExtent l="0" t="0" r="17780" b="1206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a:stretch>
                      <a:fillRect/>
                    </a:stretch>
                  </pic:blipFill>
                  <pic:spPr>
                    <a:xfrm>
                      <a:off x="0" y="0"/>
                      <a:ext cx="2934970" cy="2312035"/>
                    </a:xfrm>
                    <a:prstGeom prst="rect">
                      <a:avLst/>
                    </a:prstGeom>
                    <a:noFill/>
                    <a:ln>
                      <a:noFill/>
                    </a:ln>
                  </pic:spPr>
                </pic:pic>
              </a:graphicData>
            </a:graphic>
          </wp:inline>
        </w:drawing>
      </w:r>
    </w:p>
    <w:p w14:paraId="743003CA">
      <w:pPr>
        <w:pStyle w:val="23"/>
        <w:ind w:left="0" w:leftChars="0" w:firstLine="0" w:firstLineChars="0"/>
        <w:jc w:val="center"/>
        <w:rPr>
          <w:rFonts w:hint="eastAsia"/>
          <w:b/>
          <w:bCs/>
          <w:color w:val="auto"/>
          <w:sz w:val="24"/>
          <w:szCs w:val="20"/>
          <w:highlight w:val="none"/>
          <w:lang w:val="en-US" w:eastAsia="zh-CN"/>
        </w:rPr>
      </w:pPr>
      <w:r>
        <w:rPr>
          <w:rFonts w:hint="eastAsia"/>
          <w:b/>
          <w:bCs/>
          <w:color w:val="auto"/>
          <w:sz w:val="24"/>
          <w:szCs w:val="20"/>
          <w:highlight w:val="none"/>
          <w:lang w:val="en-US" w:eastAsia="zh-CN"/>
        </w:rPr>
        <w:t>图7.2-2 2#本溪市建筑垃圾资源化厂选址图（左2#选址，右3#选址）</w:t>
      </w:r>
    </w:p>
    <w:p w14:paraId="0F79745D">
      <w:pPr>
        <w:pStyle w:val="12"/>
        <w:ind w:left="0" w:leftChars="0" w:firstLine="0" w:firstLineChars="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5095240" cy="3379470"/>
            <wp:effectExtent l="0" t="0" r="10160" b="1143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0"/>
                    <a:stretch>
                      <a:fillRect/>
                    </a:stretch>
                  </pic:blipFill>
                  <pic:spPr>
                    <a:xfrm>
                      <a:off x="0" y="0"/>
                      <a:ext cx="5095240" cy="3379470"/>
                    </a:xfrm>
                    <a:prstGeom prst="rect">
                      <a:avLst/>
                    </a:prstGeom>
                    <a:noFill/>
                    <a:ln>
                      <a:noFill/>
                    </a:ln>
                  </pic:spPr>
                </pic:pic>
              </a:graphicData>
            </a:graphic>
          </wp:inline>
        </w:drawing>
      </w:r>
    </w:p>
    <w:p w14:paraId="2F0F7840">
      <w:pPr>
        <w:jc w:val="center"/>
        <w:rPr>
          <w:rFonts w:hint="default"/>
          <w:color w:val="auto"/>
          <w:highlight w:val="none"/>
          <w:lang w:val="en-US" w:eastAsia="zh-CN"/>
        </w:rPr>
      </w:pPr>
      <w:r>
        <w:rPr>
          <w:rFonts w:hint="eastAsia" w:ascii="Times New Roman" w:eastAsia="宋体"/>
          <w:b/>
          <w:bCs/>
          <w:color w:val="auto"/>
          <w:sz w:val="24"/>
          <w:szCs w:val="20"/>
          <w:highlight w:val="none"/>
          <w:lang w:val="en-US" w:eastAsia="zh-CN"/>
        </w:rPr>
        <w:t>图7.2-</w:t>
      </w:r>
      <w:r>
        <w:rPr>
          <w:rFonts w:hint="eastAsia"/>
          <w:b/>
          <w:bCs/>
          <w:color w:val="auto"/>
          <w:sz w:val="24"/>
          <w:szCs w:val="20"/>
          <w:highlight w:val="none"/>
          <w:lang w:val="en-US" w:eastAsia="zh-CN"/>
        </w:rPr>
        <w:t>3</w:t>
      </w:r>
      <w:r>
        <w:rPr>
          <w:rFonts w:hint="eastAsia" w:ascii="Times New Roman" w:eastAsia="宋体"/>
          <w:b/>
          <w:bCs/>
          <w:color w:val="auto"/>
          <w:sz w:val="24"/>
          <w:szCs w:val="20"/>
          <w:highlight w:val="none"/>
          <w:lang w:val="en-US" w:eastAsia="zh-CN"/>
        </w:rPr>
        <w:t xml:space="preserve"> 本溪市建筑垃圾资源化厂选址</w:t>
      </w:r>
      <w:r>
        <w:rPr>
          <w:rFonts w:hint="eastAsia"/>
          <w:b/>
          <w:bCs/>
          <w:color w:val="auto"/>
          <w:sz w:val="24"/>
          <w:szCs w:val="20"/>
          <w:highlight w:val="none"/>
          <w:lang w:val="en-US" w:eastAsia="zh-CN"/>
        </w:rPr>
        <w:t>用地性质示意图</w:t>
      </w:r>
    </w:p>
    <w:p w14:paraId="053C6F22">
      <w:pPr>
        <w:rPr>
          <w:rFonts w:hint="eastAsia" w:ascii="Times New Roman" w:hAnsi="Times New Roman" w:eastAsia="宋体"/>
          <w:b/>
          <w:bCs/>
          <w:color w:val="auto"/>
          <w:highlight w:val="none"/>
          <w:lang w:val="en-US" w:eastAsia="zh-CN"/>
        </w:rPr>
      </w:pPr>
      <w:r>
        <w:rPr>
          <w:rFonts w:hint="eastAsia" w:ascii="Times New Roman" w:hAnsi="Times New Roman" w:eastAsia="宋体"/>
          <w:b/>
          <w:bCs/>
          <w:color w:val="auto"/>
          <w:highlight w:val="none"/>
          <w:lang w:val="en-US" w:eastAsia="zh-CN"/>
        </w:rPr>
        <w:t>4、</w:t>
      </w:r>
      <w:r>
        <w:rPr>
          <w:rFonts w:hint="eastAsia"/>
          <w:b/>
          <w:bCs/>
          <w:color w:val="auto"/>
          <w:highlight w:val="none"/>
          <w:lang w:val="en-US" w:eastAsia="zh-CN"/>
        </w:rPr>
        <w:t>建筑垃圾资源化厂</w:t>
      </w:r>
      <w:r>
        <w:rPr>
          <w:rFonts w:hint="eastAsia" w:ascii="Times New Roman" w:hAnsi="Times New Roman" w:eastAsia="宋体"/>
          <w:b/>
          <w:bCs/>
          <w:color w:val="auto"/>
          <w:highlight w:val="none"/>
          <w:lang w:val="en-US" w:eastAsia="zh-CN"/>
        </w:rPr>
        <w:t>规划布局</w:t>
      </w:r>
    </w:p>
    <w:p w14:paraId="7F4A03D9">
      <w:pPr>
        <w:bidi w:val="0"/>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建筑垃圾资源化厂</w:t>
      </w:r>
      <w:r>
        <w:rPr>
          <w:rFonts w:hint="eastAsia"/>
          <w:color w:val="auto"/>
          <w:highlight w:val="none"/>
          <w:lang w:val="en-US" w:eastAsia="zh-CN"/>
        </w:rPr>
        <w:t>需</w:t>
      </w:r>
      <w:r>
        <w:rPr>
          <w:rFonts w:hint="eastAsia" w:ascii="Times New Roman" w:hAnsi="Times New Roman" w:eastAsia="宋体"/>
          <w:color w:val="auto"/>
          <w:highlight w:val="none"/>
          <w:lang w:val="en-US" w:eastAsia="zh-CN"/>
        </w:rPr>
        <w:t>建设</w:t>
      </w:r>
      <w:r>
        <w:rPr>
          <w:rFonts w:hint="eastAsia"/>
          <w:color w:val="auto"/>
          <w:highlight w:val="none"/>
          <w:lang w:val="en-US" w:eastAsia="zh-CN"/>
        </w:rPr>
        <w:t>资源化厂房、产品堆场、来料堆场、配套办公用房等建构筑物</w:t>
      </w:r>
      <w:r>
        <w:rPr>
          <w:rFonts w:hint="eastAsia" w:ascii="Times New Roman" w:hAnsi="Times New Roman" w:eastAsia="宋体"/>
          <w:color w:val="auto"/>
          <w:highlight w:val="none"/>
          <w:lang w:val="en-US" w:eastAsia="zh-CN"/>
        </w:rPr>
        <w:t>，</w:t>
      </w:r>
      <w:r>
        <w:rPr>
          <w:rFonts w:hint="eastAsia"/>
          <w:color w:val="auto"/>
          <w:highlight w:val="none"/>
          <w:lang w:val="en-US" w:eastAsia="zh-CN"/>
        </w:rPr>
        <w:t>近期建设规模为1450吨/日，远期扩建至</w:t>
      </w:r>
      <w:r>
        <w:rPr>
          <w:rFonts w:hint="eastAsia" w:ascii="Times New Roman" w:hAnsi="Times New Roman" w:eastAsia="宋体"/>
          <w:color w:val="auto"/>
          <w:highlight w:val="none"/>
          <w:lang w:val="en-US" w:eastAsia="zh-CN"/>
        </w:rPr>
        <w:t>规模为</w:t>
      </w:r>
      <w:r>
        <w:rPr>
          <w:rFonts w:hint="eastAsia"/>
          <w:color w:val="auto"/>
          <w:highlight w:val="none"/>
          <w:lang w:val="en-US" w:eastAsia="zh-CN"/>
        </w:rPr>
        <w:t>22</w:t>
      </w:r>
      <w:r>
        <w:rPr>
          <w:rFonts w:hint="eastAsia" w:ascii="Times New Roman" w:hAnsi="Times New Roman" w:eastAsia="宋体"/>
          <w:color w:val="auto"/>
          <w:highlight w:val="none"/>
          <w:lang w:val="en-US" w:eastAsia="zh-CN"/>
        </w:rPr>
        <w:t>00吨/日</w:t>
      </w:r>
      <w:r>
        <w:rPr>
          <w:rFonts w:hint="eastAsia"/>
          <w:color w:val="auto"/>
          <w:highlight w:val="none"/>
          <w:lang w:val="en-US" w:eastAsia="zh-CN"/>
        </w:rPr>
        <w:t>。</w:t>
      </w:r>
      <w:r>
        <w:rPr>
          <w:rFonts w:hint="eastAsia" w:ascii="Times New Roman" w:hAnsi="Times New Roman" w:eastAsia="宋体"/>
          <w:color w:val="auto"/>
          <w:highlight w:val="none"/>
          <w:lang w:val="en-US" w:eastAsia="zh-CN"/>
        </w:rPr>
        <w:t>年运行</w:t>
      </w:r>
      <w:r>
        <w:rPr>
          <w:rFonts w:hint="eastAsia"/>
          <w:color w:val="auto"/>
          <w:highlight w:val="none"/>
          <w:lang w:val="en-US" w:eastAsia="zh-CN"/>
        </w:rPr>
        <w:t>300</w:t>
      </w:r>
      <w:r>
        <w:rPr>
          <w:rFonts w:hint="eastAsia" w:ascii="Times New Roman" w:hAnsi="Times New Roman" w:eastAsia="宋体"/>
          <w:color w:val="auto"/>
          <w:highlight w:val="none"/>
          <w:lang w:val="en-US" w:eastAsia="zh-CN"/>
        </w:rPr>
        <w:t>天，每天运行</w:t>
      </w:r>
      <w:r>
        <w:rPr>
          <w:rFonts w:hint="eastAsia"/>
          <w:color w:val="auto"/>
          <w:highlight w:val="none"/>
          <w:lang w:val="en-US" w:eastAsia="zh-CN"/>
        </w:rPr>
        <w:t>8</w:t>
      </w:r>
      <w:r>
        <w:rPr>
          <w:rFonts w:hint="eastAsia" w:ascii="Times New Roman" w:hAnsi="Times New Roman" w:eastAsia="宋体"/>
          <w:color w:val="auto"/>
          <w:highlight w:val="none"/>
          <w:lang w:val="en-US" w:eastAsia="zh-CN"/>
        </w:rPr>
        <w:t>小时</w:t>
      </w:r>
      <w:r>
        <w:rPr>
          <w:rFonts w:hint="eastAsia"/>
          <w:color w:val="auto"/>
          <w:highlight w:val="none"/>
          <w:lang w:val="en-US" w:eastAsia="zh-CN"/>
        </w:rPr>
        <w:t>。</w:t>
      </w:r>
    </w:p>
    <w:p w14:paraId="79C7AC7D">
      <w:pPr>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5、</w:t>
      </w:r>
      <w:r>
        <w:rPr>
          <w:rFonts w:hint="eastAsia"/>
          <w:b/>
          <w:bCs/>
          <w:color w:val="auto"/>
          <w:lang w:val="en-US" w:eastAsia="zh-CN"/>
        </w:rPr>
        <w:t>建筑垃圾资源化厂</w:t>
      </w:r>
      <w:r>
        <w:rPr>
          <w:rFonts w:hint="eastAsia" w:ascii="Times New Roman" w:hAnsi="Times New Roman" w:eastAsia="宋体"/>
          <w:b/>
          <w:bCs/>
          <w:color w:val="auto"/>
          <w:lang w:val="en-US" w:eastAsia="zh-CN"/>
        </w:rPr>
        <w:t>功能设置</w:t>
      </w:r>
    </w:p>
    <w:p w14:paraId="4A3AEECE">
      <w:pPr>
        <w:bidi w:val="0"/>
        <w:ind w:left="560" w:leftChars="200"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建筑垃圾资源化利用厂功能</w:t>
      </w:r>
      <w:r>
        <w:rPr>
          <w:rFonts w:hint="eastAsia"/>
          <w:color w:val="auto"/>
          <w:lang w:val="en-US" w:eastAsia="zh-CN"/>
        </w:rPr>
        <w:t>主要</w:t>
      </w:r>
      <w:r>
        <w:rPr>
          <w:rFonts w:hint="eastAsia" w:ascii="Times New Roman" w:hAnsi="Times New Roman" w:eastAsia="宋体"/>
          <w:color w:val="auto"/>
          <w:lang w:val="en-US" w:eastAsia="zh-CN"/>
        </w:rPr>
        <w:t>是指资源化利用厂内部生产、管理及其他配套功能，主要包括：</w:t>
      </w:r>
    </w:p>
    <w:p w14:paraId="4DC1212E">
      <w:pPr>
        <w:bidi w:val="0"/>
        <w:ind w:left="560" w:leftChars="200"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① 原料及成品贮存设施：建筑垃圾堆场、骨料堆场、产品堆场；</w:t>
      </w:r>
    </w:p>
    <w:p w14:paraId="01C92364">
      <w:pPr>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② 建筑垃圾分类设施：对建筑垃圾进行分类的分拣设施；</w:t>
      </w:r>
    </w:p>
    <w:p w14:paraId="5340F193">
      <w:pPr>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③ 资源化利用设施：通过破碎、分拣使建筑垃圾成为骨料等可利用资源的设施，推荐经过</w:t>
      </w:r>
      <w:r>
        <w:rPr>
          <w:rFonts w:hint="eastAsia"/>
          <w:color w:val="auto"/>
          <w:lang w:val="en-US" w:eastAsia="zh-CN"/>
        </w:rPr>
        <w:t>“二</w:t>
      </w:r>
      <w:r>
        <w:rPr>
          <w:rFonts w:hint="eastAsia" w:ascii="Times New Roman" w:hAnsi="Times New Roman" w:eastAsia="宋体"/>
          <w:color w:val="auto"/>
          <w:lang w:val="en-US" w:eastAsia="zh-CN"/>
        </w:rPr>
        <w:t>破二筛</w:t>
      </w:r>
      <w:r>
        <w:rPr>
          <w:rFonts w:hint="eastAsia"/>
          <w:color w:val="auto"/>
          <w:lang w:val="en-US" w:eastAsia="zh-CN"/>
        </w:rPr>
        <w:t>”</w:t>
      </w:r>
      <w:r>
        <w:rPr>
          <w:rFonts w:hint="eastAsia" w:ascii="Times New Roman" w:hAnsi="Times New Roman" w:eastAsia="宋体"/>
          <w:color w:val="auto"/>
          <w:lang w:val="en-US" w:eastAsia="zh-CN"/>
        </w:rPr>
        <w:t>，将建筑垃圾中可资源化的部分破碎成</w:t>
      </w:r>
      <w:r>
        <w:rPr>
          <w:rFonts w:hint="eastAsia"/>
          <w:color w:val="auto"/>
          <w:lang w:val="en-US" w:eastAsia="zh-CN"/>
        </w:rPr>
        <w:t>不同规格的骨料</w:t>
      </w:r>
      <w:r>
        <w:rPr>
          <w:rFonts w:hint="eastAsia" w:ascii="Times New Roman" w:hAnsi="Times New Roman" w:eastAsia="宋体"/>
          <w:color w:val="auto"/>
          <w:lang w:val="en-US" w:eastAsia="zh-CN"/>
        </w:rPr>
        <w:t>，</w:t>
      </w:r>
      <w:r>
        <w:rPr>
          <w:rFonts w:hint="eastAsia"/>
          <w:color w:val="auto"/>
          <w:lang w:val="en-US" w:eastAsia="zh-CN"/>
        </w:rPr>
        <w:t>用于不同用途</w:t>
      </w:r>
      <w:r>
        <w:rPr>
          <w:rFonts w:hint="eastAsia" w:ascii="Times New Roman" w:hAnsi="Times New Roman" w:eastAsia="宋体"/>
          <w:color w:val="auto"/>
          <w:lang w:val="en-US" w:eastAsia="zh-CN"/>
        </w:rPr>
        <w:t>；</w:t>
      </w:r>
    </w:p>
    <w:p w14:paraId="4A289E8D">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④</w:t>
      </w:r>
      <w:r>
        <w:rPr>
          <w:rFonts w:hint="default" w:ascii="Times New Roman" w:hAnsi="Times New Roman" w:eastAsia="宋体"/>
          <w:color w:val="auto"/>
          <w:lang w:val="en-US" w:eastAsia="zh-CN"/>
        </w:rPr>
        <w:t xml:space="preserve"> 再生产品辅助生产与配套设施</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辅助生产设施包括喷淋系统</w:t>
      </w:r>
      <w:r>
        <w:rPr>
          <w:rFonts w:hint="eastAsia" w:ascii="Times New Roman" w:hAnsi="Times New Roman" w:eastAsia="宋体"/>
          <w:color w:val="auto"/>
          <w:lang w:val="en-US" w:eastAsia="zh-CN"/>
        </w:rPr>
        <w:t>，</w:t>
      </w:r>
      <w:r>
        <w:rPr>
          <w:rFonts w:hint="eastAsia"/>
          <w:color w:val="auto"/>
          <w:lang w:val="en-US" w:eastAsia="zh-CN"/>
        </w:rPr>
        <w:t>除尘系统等</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配套设施包括围护设施、</w:t>
      </w:r>
      <w:r>
        <w:rPr>
          <w:rFonts w:hint="eastAsia"/>
          <w:color w:val="auto"/>
          <w:lang w:val="en-US" w:eastAsia="zh-CN"/>
        </w:rPr>
        <w:t>地磅</w:t>
      </w:r>
      <w:r>
        <w:rPr>
          <w:rFonts w:hint="default" w:ascii="Times New Roman" w:hAnsi="Times New Roman" w:eastAsia="宋体"/>
          <w:color w:val="auto"/>
          <w:lang w:val="en-US" w:eastAsia="zh-CN"/>
        </w:rPr>
        <w:t>、进出场车辆车轮冲洗站、厂区道路、室外夜间照明、给水、排水、消防、供电、机修、交通、通信设施等</w:t>
      </w:r>
      <w:r>
        <w:rPr>
          <w:rFonts w:hint="eastAsia" w:ascii="Times New Roman" w:hAnsi="Times New Roman" w:eastAsia="宋体"/>
          <w:color w:val="auto"/>
          <w:lang w:val="en-US" w:eastAsia="zh-CN"/>
        </w:rPr>
        <w:t>；</w:t>
      </w:r>
    </w:p>
    <w:p w14:paraId="68DD19FC">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 xml:space="preserve">⑤ </w:t>
      </w:r>
      <w:r>
        <w:rPr>
          <w:rFonts w:hint="default" w:ascii="Times New Roman" w:hAnsi="Times New Roman" w:eastAsia="宋体"/>
          <w:color w:val="auto"/>
          <w:lang w:val="en-US" w:eastAsia="zh-CN"/>
        </w:rPr>
        <w:t>配套服务设施</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智能监管系统、行政管理及生活服务设施等。。</w:t>
      </w:r>
    </w:p>
    <w:p w14:paraId="57DA9E3A">
      <w:pPr>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6、</w:t>
      </w:r>
      <w:r>
        <w:rPr>
          <w:rFonts w:hint="eastAsia"/>
          <w:b/>
          <w:bCs/>
          <w:color w:val="auto"/>
          <w:lang w:val="en-US" w:eastAsia="zh-CN"/>
        </w:rPr>
        <w:t>建筑垃圾资源化厂</w:t>
      </w:r>
      <w:r>
        <w:rPr>
          <w:rFonts w:hint="eastAsia" w:ascii="Times New Roman" w:hAnsi="Times New Roman" w:eastAsia="宋体"/>
          <w:b/>
          <w:bCs/>
          <w:color w:val="auto"/>
          <w:lang w:val="en-US" w:eastAsia="zh-CN"/>
        </w:rPr>
        <w:t>建设</w:t>
      </w:r>
    </w:p>
    <w:p w14:paraId="2EED740E">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建筑垃圾资源化厂建设需满足以下要求</w:t>
      </w:r>
      <w:r>
        <w:rPr>
          <w:rFonts w:hint="eastAsia" w:ascii="Times New Roman" w:hAnsi="Times New Roman" w:eastAsia="宋体"/>
          <w:color w:val="auto"/>
          <w:lang w:val="en-US" w:eastAsia="zh-CN"/>
        </w:rPr>
        <w:t>：</w:t>
      </w:r>
    </w:p>
    <w:p w14:paraId="4DED1B65">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w:t>
      </w:r>
      <w:r>
        <w:rPr>
          <w:rFonts w:hint="default" w:ascii="Times New Roman" w:hAnsi="Times New Roman" w:eastAsia="宋体"/>
          <w:color w:val="auto"/>
          <w:lang w:val="en-US" w:eastAsia="zh-CN"/>
        </w:rPr>
        <w:t>工艺与设备应成熟可靠，以实现连续稳定生产，降低二次污染，提高机械化、自动化水平，保证安全高效、环保节能。</w:t>
      </w:r>
    </w:p>
    <w:p w14:paraId="6ABD2764">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（2）进场建筑垃圾应根据工程渣土、工程泥浆、工程垃圾拆除垃圾和装修垃圾及其细分类堆放，并应设置明显的分类堆放标志。</w:t>
      </w:r>
    </w:p>
    <w:p w14:paraId="7F45938E">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（3）</w:t>
      </w:r>
      <w:r>
        <w:rPr>
          <w:rFonts w:hint="eastAsia"/>
          <w:color w:val="auto"/>
          <w:lang w:val="en-US" w:eastAsia="zh-CN"/>
        </w:rPr>
        <w:t>资源化</w:t>
      </w:r>
      <w:r>
        <w:rPr>
          <w:rFonts w:hint="default" w:ascii="Times New Roman" w:hAnsi="Times New Roman" w:eastAsia="宋体"/>
          <w:color w:val="auto"/>
          <w:lang w:val="en-US" w:eastAsia="zh-CN"/>
        </w:rPr>
        <w:t>系统应根据进厂物料、资源化利用产品形式与出路等综合考虑确定。资源化系统主要包括破碎、选筛、分选等工艺，具体工艺路线应根据后续要求和处理对象特点确定。</w:t>
      </w:r>
    </w:p>
    <w:p w14:paraId="262EF46A">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（4）</w:t>
      </w:r>
      <w:r>
        <w:rPr>
          <w:rFonts w:hint="default" w:ascii="Times New Roman" w:hAnsi="Times New Roman" w:eastAsia="宋体"/>
          <w:color w:val="auto"/>
          <w:lang w:val="en-US" w:eastAsia="zh-CN"/>
        </w:rPr>
        <w:t>资源化系统应具备连续工作制生产条件。</w:t>
      </w:r>
    </w:p>
    <w:p w14:paraId="2672DC6F">
      <w:pPr>
        <w:bidi w:val="0"/>
        <w:rPr>
          <w:rFonts w:hint="eastAsia"/>
          <w:b/>
          <w:bCs/>
          <w:color w:val="auto"/>
          <w:lang w:val="en-US" w:eastAsia="zh-CN"/>
        </w:rPr>
      </w:pPr>
      <w:r>
        <w:rPr>
          <w:rFonts w:hint="eastAsia" w:ascii="Times New Roman" w:hAnsi="Times New Roman" w:eastAsia="宋体"/>
          <w:color w:val="auto"/>
          <w:lang w:val="en-US" w:eastAsia="zh-CN"/>
        </w:rPr>
        <w:t>（5）</w:t>
      </w:r>
      <w:r>
        <w:rPr>
          <w:rFonts w:hint="default" w:ascii="Times New Roman" w:hAnsi="Times New Roman" w:eastAsia="宋体"/>
          <w:color w:val="auto"/>
          <w:lang w:val="en-US" w:eastAsia="zh-CN"/>
        </w:rPr>
        <w:t>资源化系统的设计服务期限不应低于20年。</w:t>
      </w:r>
    </w:p>
    <w:p w14:paraId="5B714CCF">
      <w:pPr>
        <w:pStyle w:val="4"/>
        <w:bidi w:val="0"/>
        <w:rPr>
          <w:rFonts w:hint="eastAsia"/>
          <w:color w:val="auto"/>
          <w:lang w:val="en-US" w:eastAsia="zh-CN"/>
        </w:rPr>
      </w:pPr>
      <w:bookmarkStart w:id="83" w:name="_Toc10169"/>
      <w:r>
        <w:rPr>
          <w:rFonts w:hint="eastAsia"/>
          <w:color w:val="auto"/>
          <w:lang w:val="en-US" w:eastAsia="zh-CN"/>
        </w:rPr>
        <w:t>7.3.2 建筑垃圾转运调配设施规划</w:t>
      </w:r>
      <w:bookmarkEnd w:id="83"/>
    </w:p>
    <w:p w14:paraId="6DD784C9">
      <w:pPr>
        <w:bidi w:val="0"/>
        <w:rPr>
          <w:rFonts w:hint="eastAsia"/>
          <w:color w:val="auto"/>
          <w:lang w:val="en-US" w:eastAsia="zh-CN"/>
        </w:rPr>
      </w:pPr>
      <w:r>
        <w:rPr>
          <w:rFonts w:hint="eastAsia"/>
          <w:color w:val="auto"/>
          <w:lang w:val="en-US" w:eastAsia="zh-CN"/>
        </w:rPr>
        <w:t>建筑垃圾转运设施是指建筑垃圾临时分类堆放，具备安全、环保存放和外运条件的设施。主要包括堆放及转运场地、初级分选设施和辅助管理设施、围挡设施等。转运调配场内宜设置分选区、分类堆放与转运区、生产管理区等。分选系统可根据末端处理要求和现场实际条件设置机械及人工分选设备。</w:t>
      </w:r>
    </w:p>
    <w:p w14:paraId="11C4FD93">
      <w:pPr>
        <w:bidi w:val="0"/>
        <w:rPr>
          <w:rFonts w:hint="eastAsia" w:ascii="Times New Roman" w:eastAsia="宋体"/>
          <w:b/>
          <w:bCs/>
          <w:color w:val="auto"/>
          <w:lang w:val="en-US" w:eastAsia="zh-CN"/>
        </w:rPr>
      </w:pPr>
      <w:r>
        <w:rPr>
          <w:rFonts w:hint="eastAsia" w:ascii="Times New Roman" w:eastAsia="宋体"/>
          <w:b/>
          <w:bCs/>
          <w:color w:val="auto"/>
          <w:lang w:val="en-US" w:eastAsia="zh-CN"/>
        </w:rPr>
        <w:t>1、场地选址原则</w:t>
      </w:r>
    </w:p>
    <w:p w14:paraId="1AE55F1A">
      <w:pPr>
        <w:bidi w:val="0"/>
        <w:rPr>
          <w:rFonts w:hint="eastAsia"/>
          <w:color w:val="auto"/>
          <w:lang w:val="en-US" w:eastAsia="zh-CN"/>
        </w:rPr>
      </w:pPr>
      <w:r>
        <w:rPr>
          <w:rFonts w:hint="eastAsia"/>
          <w:color w:val="auto"/>
          <w:lang w:val="en-US" w:eastAsia="zh-CN"/>
        </w:rPr>
        <w:t>转运调配场选址应满足以下要求：</w:t>
      </w:r>
    </w:p>
    <w:p w14:paraId="655CE36A">
      <w:pPr>
        <w:bidi w:val="0"/>
        <w:rPr>
          <w:rFonts w:hint="eastAsia"/>
          <w:color w:val="auto"/>
          <w:lang w:val="en-US" w:eastAsia="zh-CN"/>
        </w:rPr>
      </w:pPr>
      <w:r>
        <w:rPr>
          <w:rFonts w:hint="eastAsia"/>
          <w:color w:val="auto"/>
          <w:lang w:val="en-US" w:eastAsia="zh-CN"/>
        </w:rPr>
        <w:t>（1）应符合当地国土空间规划、环境卫生专项规划和国家有关标准的要求。</w:t>
      </w:r>
    </w:p>
    <w:p w14:paraId="2CA25E09">
      <w:pPr>
        <w:bidi w:val="0"/>
        <w:rPr>
          <w:rFonts w:hint="eastAsia"/>
          <w:color w:val="auto"/>
          <w:lang w:val="en-US" w:eastAsia="zh-CN"/>
        </w:rPr>
      </w:pPr>
      <w:r>
        <w:rPr>
          <w:rFonts w:hint="eastAsia"/>
          <w:color w:val="auto"/>
          <w:lang w:val="en-US" w:eastAsia="zh-CN"/>
        </w:rPr>
        <w:t>（2）宜设置在建筑垃圾产量较大的区域附近或设置在城市近郊区。</w:t>
      </w:r>
    </w:p>
    <w:p w14:paraId="71D0F013">
      <w:pPr>
        <w:bidi w:val="0"/>
        <w:rPr>
          <w:rFonts w:hint="eastAsia"/>
          <w:color w:val="auto"/>
          <w:lang w:val="en-US" w:eastAsia="zh-CN"/>
        </w:rPr>
      </w:pPr>
      <w:r>
        <w:rPr>
          <w:rFonts w:hint="eastAsia"/>
          <w:color w:val="auto"/>
          <w:lang w:val="en-US" w:eastAsia="zh-CN"/>
        </w:rPr>
        <w:t>（3）选址处应交通便利，易于收集和转运。</w:t>
      </w:r>
    </w:p>
    <w:p w14:paraId="2DA47E15">
      <w:pPr>
        <w:bidi w:val="0"/>
        <w:rPr>
          <w:rFonts w:hint="eastAsia"/>
          <w:color w:val="auto"/>
          <w:lang w:val="en-US" w:eastAsia="zh-CN"/>
        </w:rPr>
      </w:pPr>
      <w:r>
        <w:rPr>
          <w:rFonts w:hint="eastAsia"/>
          <w:color w:val="auto"/>
          <w:lang w:val="en-US" w:eastAsia="zh-CN"/>
        </w:rPr>
        <w:t>（4）转运调配场建设规模应根据服务区域内建筑垃圾产生量、场址自然条件、地形地貌特征、服务年限及技术、经济合理性等因素综合确定。</w:t>
      </w:r>
    </w:p>
    <w:p w14:paraId="4A048151">
      <w:pPr>
        <w:bidi w:val="0"/>
        <w:rPr>
          <w:rFonts w:hint="eastAsia"/>
          <w:color w:val="auto"/>
          <w:lang w:val="en-US" w:eastAsia="zh-CN"/>
        </w:rPr>
      </w:pPr>
      <w:r>
        <w:rPr>
          <w:rFonts w:hint="eastAsia"/>
          <w:color w:val="auto"/>
          <w:lang w:val="en-US" w:eastAsia="zh-CN"/>
        </w:rPr>
        <w:t>（5）固定式转运调配场宜优先选用废弃的采矿坑等用地。</w:t>
      </w:r>
    </w:p>
    <w:p w14:paraId="7B7934EF">
      <w:pPr>
        <w:bidi w:val="0"/>
        <w:ind w:left="280" w:leftChars="100" w:firstLine="280" w:firstLineChars="100"/>
        <w:rPr>
          <w:rFonts w:hint="eastAsia"/>
          <w:color w:val="auto"/>
          <w:lang w:val="en-US" w:eastAsia="zh-CN"/>
        </w:rPr>
      </w:pPr>
      <w:r>
        <w:rPr>
          <w:rFonts w:hint="eastAsia"/>
          <w:color w:val="auto"/>
          <w:lang w:val="en-US" w:eastAsia="zh-CN"/>
        </w:rPr>
        <w:t>（6）禁止在江河、湖泊、运河、渠道、水库最高水位线以下的滩地和岸坡堆放存贮建筑垃圾。</w:t>
      </w:r>
    </w:p>
    <w:p w14:paraId="640B7C92">
      <w:pPr>
        <w:bidi w:val="0"/>
        <w:ind w:left="280" w:leftChars="100" w:firstLine="280" w:firstLineChars="100"/>
        <w:rPr>
          <w:rFonts w:hint="eastAsia"/>
          <w:color w:val="auto"/>
          <w:lang w:val="en-US" w:eastAsia="zh-CN"/>
        </w:rPr>
      </w:pPr>
      <w:r>
        <w:rPr>
          <w:rFonts w:hint="eastAsia"/>
          <w:color w:val="auto"/>
          <w:lang w:val="en-US" w:eastAsia="zh-CN"/>
        </w:rPr>
        <w:t>（7）在国务院和国务院有关主管部门及省、自治区、直辖市人民政府划定的自然保护区、风景名胜区、饮用水水源保护区、基本农田保护区和其他需要特别保护的区域内，禁止建设建筑垃圾集中贮存、处置的设施。</w:t>
      </w:r>
    </w:p>
    <w:p w14:paraId="48D2E6E3">
      <w:pPr>
        <w:bidi w:val="0"/>
        <w:ind w:left="280" w:leftChars="100" w:firstLine="281" w:firstLineChars="100"/>
        <w:rPr>
          <w:rFonts w:hint="eastAsia"/>
          <w:b/>
          <w:bCs/>
          <w:color w:val="auto"/>
          <w:lang w:val="en-US" w:eastAsia="zh-CN"/>
        </w:rPr>
      </w:pPr>
      <w:r>
        <w:rPr>
          <w:rFonts w:hint="eastAsia"/>
          <w:b/>
          <w:bCs/>
          <w:color w:val="auto"/>
          <w:lang w:val="en-US" w:eastAsia="zh-CN"/>
        </w:rPr>
        <w:t>2、转运调配场</w:t>
      </w:r>
    </w:p>
    <w:p w14:paraId="79854379">
      <w:pPr>
        <w:bidi w:val="0"/>
        <w:rPr>
          <w:rFonts w:hint="default"/>
          <w:color w:val="auto"/>
          <w:lang w:val="en-US" w:eastAsia="zh-CN"/>
        </w:rPr>
      </w:pPr>
      <w:r>
        <w:rPr>
          <w:rFonts w:hint="default"/>
          <w:color w:val="auto"/>
          <w:lang w:val="en-US" w:eastAsia="zh-CN"/>
        </w:rPr>
        <w:t>本次规划遵循以上的布局指导原则和具体选址要求</w:t>
      </w:r>
      <w:r>
        <w:rPr>
          <w:rFonts w:hint="eastAsia"/>
          <w:color w:val="auto"/>
          <w:lang w:val="en-US" w:eastAsia="zh-CN"/>
        </w:rPr>
        <w:t>，</w:t>
      </w:r>
      <w:r>
        <w:rPr>
          <w:rFonts w:hint="default"/>
          <w:color w:val="auto"/>
          <w:lang w:val="en-US" w:eastAsia="zh-CN"/>
        </w:rPr>
        <w:t>根据规划建设情况及</w:t>
      </w:r>
      <w:r>
        <w:rPr>
          <w:rFonts w:hint="eastAsia"/>
          <w:color w:val="auto"/>
          <w:lang w:val="en-US" w:eastAsia="zh-CN"/>
        </w:rPr>
        <w:t>本溪市</w:t>
      </w:r>
      <w:r>
        <w:rPr>
          <w:rFonts w:hint="default"/>
          <w:color w:val="auto"/>
          <w:lang w:val="en-US" w:eastAsia="zh-CN"/>
        </w:rPr>
        <w:t>发展方向、场址自然条件、规划用地情况、服务年限及技术、经济合理性等因素</w:t>
      </w:r>
      <w:r>
        <w:rPr>
          <w:rFonts w:hint="eastAsia"/>
          <w:color w:val="auto"/>
          <w:lang w:val="en-US" w:eastAsia="zh-CN"/>
        </w:rPr>
        <w:t>合理规划建筑垃圾转运调配场</w:t>
      </w:r>
      <w:r>
        <w:rPr>
          <w:rFonts w:hint="default"/>
          <w:color w:val="auto"/>
          <w:lang w:val="en-US" w:eastAsia="zh-CN"/>
        </w:rPr>
        <w:t>。</w:t>
      </w:r>
    </w:p>
    <w:p w14:paraId="766B2674">
      <w:pPr>
        <w:kinsoku w:val="0"/>
        <w:autoSpaceDE w:val="0"/>
        <w:autoSpaceDN w:val="0"/>
        <w:bidi w:val="0"/>
        <w:adjustRightInd w:val="0"/>
        <w:snapToGrid w:val="0"/>
        <w:spacing w:line="360" w:lineRule="auto"/>
        <w:ind w:firstLine="0" w:firstLineChars="0"/>
        <w:jc w:val="center"/>
        <w:textAlignment w:val="baseline"/>
        <w:rPr>
          <w:rFonts w:hint="default"/>
          <w:color w:val="auto"/>
          <w:lang w:val="en-US" w:eastAsia="zh-CN"/>
        </w:rPr>
      </w:pPr>
      <w:r>
        <w:rPr>
          <w:rFonts w:hint="eastAsia" w:ascii="Times New Roman" w:hAnsi="Times New Roman" w:eastAsia="宋体" w:cs="Arial"/>
          <w:b/>
          <w:bCs/>
          <w:snapToGrid w:val="0"/>
          <w:color w:val="auto"/>
          <w:kern w:val="0"/>
          <w:sz w:val="24"/>
          <w:szCs w:val="20"/>
          <w:highlight w:val="none"/>
          <w:lang w:val="en-US" w:eastAsia="zh-CN"/>
        </w:rPr>
        <w:t>表7.3-</w:t>
      </w:r>
      <w:r>
        <w:rPr>
          <w:rFonts w:hint="eastAsia" w:cs="Arial"/>
          <w:b/>
          <w:bCs/>
          <w:snapToGrid w:val="0"/>
          <w:color w:val="auto"/>
          <w:kern w:val="0"/>
          <w:sz w:val="24"/>
          <w:szCs w:val="20"/>
          <w:highlight w:val="none"/>
          <w:lang w:val="en-US" w:eastAsia="zh-CN"/>
        </w:rPr>
        <w:t>2</w:t>
      </w:r>
      <w:r>
        <w:rPr>
          <w:rFonts w:hint="eastAsia" w:ascii="Times New Roman" w:hAnsi="Times New Roman" w:eastAsia="宋体" w:cs="Arial"/>
          <w:b/>
          <w:bCs/>
          <w:snapToGrid w:val="0"/>
          <w:color w:val="auto"/>
          <w:kern w:val="0"/>
          <w:sz w:val="24"/>
          <w:szCs w:val="20"/>
          <w:highlight w:val="none"/>
          <w:lang w:val="en-US" w:eastAsia="zh-CN"/>
        </w:rPr>
        <w:t xml:space="preserve"> 建筑垃圾</w:t>
      </w:r>
      <w:r>
        <w:rPr>
          <w:rFonts w:hint="eastAsia" w:cs="Arial"/>
          <w:b/>
          <w:bCs/>
          <w:snapToGrid w:val="0"/>
          <w:color w:val="auto"/>
          <w:kern w:val="0"/>
          <w:sz w:val="24"/>
          <w:szCs w:val="20"/>
          <w:highlight w:val="none"/>
          <w:lang w:val="en-US" w:eastAsia="zh-CN"/>
        </w:rPr>
        <w:t>转运调配场</w:t>
      </w:r>
      <w:r>
        <w:rPr>
          <w:rFonts w:hint="eastAsia" w:ascii="Times New Roman" w:hAnsi="Times New Roman" w:eastAsia="宋体" w:cs="Arial"/>
          <w:b/>
          <w:bCs/>
          <w:snapToGrid w:val="0"/>
          <w:color w:val="auto"/>
          <w:kern w:val="0"/>
          <w:sz w:val="24"/>
          <w:szCs w:val="20"/>
          <w:highlight w:val="none"/>
          <w:lang w:val="en-US" w:eastAsia="zh-CN"/>
        </w:rPr>
        <w:t>选址条件</w:t>
      </w:r>
    </w:p>
    <w:tbl>
      <w:tblPr>
        <w:tblStyle w:val="1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2005"/>
        <w:gridCol w:w="1868"/>
        <w:gridCol w:w="2019"/>
        <w:gridCol w:w="1977"/>
        <w:gridCol w:w="2116"/>
      </w:tblGrid>
      <w:tr w14:paraId="07B4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0" w:type="pct"/>
            <w:vAlign w:val="center"/>
          </w:tcPr>
          <w:p w14:paraId="7533D098">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序号</w:t>
            </w:r>
          </w:p>
        </w:tc>
        <w:tc>
          <w:tcPr>
            <w:tcW w:w="957" w:type="pct"/>
            <w:vAlign w:val="center"/>
          </w:tcPr>
          <w:p w14:paraId="575E95DF">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名称</w:t>
            </w:r>
          </w:p>
        </w:tc>
        <w:tc>
          <w:tcPr>
            <w:tcW w:w="892" w:type="pct"/>
            <w:shd w:val="clear" w:color="auto" w:fill="auto"/>
            <w:vAlign w:val="center"/>
          </w:tcPr>
          <w:p w14:paraId="018410F6">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b/>
                <w:bCs/>
                <w:color w:val="auto"/>
                <w:sz w:val="24"/>
                <w:szCs w:val="20"/>
                <w:highlight w:val="none"/>
                <w:vertAlign w:val="baseline"/>
                <w:lang w:val="en-US" w:eastAsia="zh-CN"/>
              </w:rPr>
              <w:t>位置</w:t>
            </w:r>
          </w:p>
        </w:tc>
        <w:tc>
          <w:tcPr>
            <w:tcW w:w="964" w:type="pct"/>
            <w:shd w:val="clear" w:color="auto" w:fill="auto"/>
            <w:vAlign w:val="center"/>
          </w:tcPr>
          <w:p w14:paraId="44C59A47">
            <w:pPr>
              <w:widowControl w:val="0"/>
              <w:ind w:left="0" w:leftChars="0" w:firstLine="0" w:firstLineChars="0"/>
              <w:jc w:val="center"/>
              <w:rPr>
                <w:rFonts w:hint="eastAsia" w:ascii="Times New Roman" w:hAnsi="Times New Roman" w:eastAsia="宋体" w:cs="Arial"/>
                <w:b/>
                <w:bCs/>
                <w:snapToGrid w:val="0"/>
                <w:color w:val="auto"/>
                <w:kern w:val="0"/>
                <w:sz w:val="24"/>
                <w:szCs w:val="20"/>
                <w:highlight w:val="none"/>
                <w:vertAlign w:val="baseline"/>
                <w:lang w:val="en-US" w:eastAsia="zh-CN"/>
              </w:rPr>
            </w:pPr>
            <w:r>
              <w:rPr>
                <w:rFonts w:hint="eastAsia" w:ascii="Times New Roman" w:hAnsi="Times New Roman" w:eastAsia="宋体"/>
                <w:b/>
                <w:bCs/>
                <w:color w:val="auto"/>
                <w:sz w:val="24"/>
                <w:szCs w:val="20"/>
                <w:highlight w:val="none"/>
                <w:vertAlign w:val="baseline"/>
                <w:lang w:val="en-US" w:eastAsia="zh-CN"/>
              </w:rPr>
              <w:t>用地面积</w:t>
            </w:r>
          </w:p>
        </w:tc>
        <w:tc>
          <w:tcPr>
            <w:tcW w:w="944" w:type="pct"/>
            <w:vAlign w:val="center"/>
          </w:tcPr>
          <w:p w14:paraId="4E9DD9B2">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b/>
                <w:bCs/>
                <w:color w:val="auto"/>
                <w:sz w:val="24"/>
                <w:szCs w:val="20"/>
                <w:highlight w:val="none"/>
                <w:vertAlign w:val="baseline"/>
                <w:lang w:val="en-US" w:eastAsia="zh-CN"/>
              </w:rPr>
              <w:t>可堆存规模</w:t>
            </w:r>
          </w:p>
        </w:tc>
        <w:tc>
          <w:tcPr>
            <w:tcW w:w="1010" w:type="pct"/>
            <w:vAlign w:val="center"/>
          </w:tcPr>
          <w:p w14:paraId="07D7BCF0">
            <w:pPr>
              <w:widowControl w:val="0"/>
              <w:ind w:left="0" w:leftChars="0" w:firstLine="0" w:firstLineChars="0"/>
              <w:jc w:val="center"/>
              <w:rPr>
                <w:rFonts w:hint="default" w:ascii="Times New Roman" w:hAnsi="Times New Roman" w:eastAsia="宋体"/>
                <w:b/>
                <w:bCs/>
                <w:color w:val="auto"/>
                <w:sz w:val="24"/>
                <w:szCs w:val="20"/>
                <w:highlight w:val="none"/>
                <w:vertAlign w:val="baseline"/>
                <w:lang w:val="en-US" w:eastAsia="zh-CN"/>
              </w:rPr>
            </w:pPr>
            <w:r>
              <w:rPr>
                <w:rFonts w:hint="eastAsia"/>
                <w:b/>
                <w:bCs/>
                <w:color w:val="auto"/>
                <w:sz w:val="24"/>
                <w:szCs w:val="20"/>
                <w:highlight w:val="none"/>
                <w:vertAlign w:val="baseline"/>
                <w:lang w:val="en-US" w:eastAsia="zh-CN"/>
              </w:rPr>
              <w:t>土地性质</w:t>
            </w:r>
          </w:p>
        </w:tc>
      </w:tr>
      <w:tr w14:paraId="5892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0" w:type="pct"/>
            <w:vAlign w:val="center"/>
          </w:tcPr>
          <w:p w14:paraId="48367E5E">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ascii="Times New Roman" w:hAnsi="Times New Roman" w:eastAsia="宋体"/>
                <w:color w:val="auto"/>
                <w:sz w:val="24"/>
                <w:szCs w:val="20"/>
                <w:highlight w:val="none"/>
                <w:vertAlign w:val="baseline"/>
                <w:lang w:val="en-US" w:eastAsia="zh-CN"/>
              </w:rPr>
              <w:t>1</w:t>
            </w:r>
          </w:p>
        </w:tc>
        <w:tc>
          <w:tcPr>
            <w:tcW w:w="957" w:type="pct"/>
            <w:vAlign w:val="center"/>
          </w:tcPr>
          <w:p w14:paraId="2459F2B7">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明山区</w:t>
            </w:r>
            <w:r>
              <w:rPr>
                <w:rFonts w:hint="eastAsia" w:ascii="Times New Roman" w:hAnsi="Times New Roman" w:eastAsia="宋体"/>
                <w:color w:val="auto"/>
                <w:sz w:val="24"/>
                <w:szCs w:val="20"/>
                <w:highlight w:val="none"/>
                <w:vertAlign w:val="baseline"/>
                <w:lang w:val="en-US" w:eastAsia="zh-CN"/>
              </w:rPr>
              <w:t>建筑垃圾</w:t>
            </w:r>
          </w:p>
          <w:p w14:paraId="1258F72B">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转运调配场</w:t>
            </w:r>
          </w:p>
        </w:tc>
        <w:tc>
          <w:tcPr>
            <w:tcW w:w="892" w:type="pct"/>
            <w:shd w:val="clear" w:color="auto" w:fill="auto"/>
            <w:vAlign w:val="center"/>
          </w:tcPr>
          <w:p w14:paraId="7D47E91C">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牛心台街道办事处红脸村</w:t>
            </w:r>
          </w:p>
        </w:tc>
        <w:tc>
          <w:tcPr>
            <w:tcW w:w="964" w:type="pct"/>
            <w:shd w:val="clear" w:color="auto" w:fill="auto"/>
            <w:vAlign w:val="center"/>
          </w:tcPr>
          <w:p w14:paraId="51918B26">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约15000</w:t>
            </w:r>
            <w:r>
              <w:rPr>
                <w:rFonts w:hint="eastAsia" w:ascii="Times New Roman" w:hAnsi="Times New Roman" w:eastAsia="宋体"/>
                <w:color w:val="auto"/>
                <w:sz w:val="24"/>
                <w:szCs w:val="20"/>
                <w:highlight w:val="none"/>
                <w:vertAlign w:val="baseline"/>
                <w:lang w:val="en-US" w:eastAsia="zh-CN"/>
              </w:rPr>
              <w:t>平方米</w:t>
            </w:r>
          </w:p>
        </w:tc>
        <w:tc>
          <w:tcPr>
            <w:tcW w:w="944" w:type="pct"/>
            <w:vAlign w:val="center"/>
          </w:tcPr>
          <w:p w14:paraId="70B7DAE3">
            <w:pPr>
              <w:widowControl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约27000立方米</w:t>
            </w:r>
          </w:p>
        </w:tc>
        <w:tc>
          <w:tcPr>
            <w:tcW w:w="1010" w:type="pct"/>
            <w:vAlign w:val="center"/>
          </w:tcPr>
          <w:p w14:paraId="38988607">
            <w:pPr>
              <w:widowControl w:val="0"/>
              <w:kinsoku w:val="0"/>
              <w:autoSpaceDE w:val="0"/>
              <w:autoSpaceDN w:val="0"/>
              <w:adjustRightInd w:val="0"/>
              <w:snapToGrid w:val="0"/>
              <w:spacing w:line="360" w:lineRule="auto"/>
              <w:ind w:left="0" w:leftChars="0" w:firstLine="0" w:firstLineChars="0"/>
              <w:jc w:val="center"/>
              <w:textAlignment w:val="baseline"/>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建设用地</w:t>
            </w:r>
          </w:p>
        </w:tc>
      </w:tr>
      <w:tr w14:paraId="60EC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0" w:type="pct"/>
            <w:vAlign w:val="center"/>
          </w:tcPr>
          <w:p w14:paraId="5DE448D7">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2</w:t>
            </w:r>
          </w:p>
        </w:tc>
        <w:tc>
          <w:tcPr>
            <w:tcW w:w="957" w:type="pct"/>
            <w:vAlign w:val="center"/>
          </w:tcPr>
          <w:p w14:paraId="0DCB8C30">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南芬区建筑垃圾</w:t>
            </w:r>
          </w:p>
          <w:p w14:paraId="45DE8FBD">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转运调配场</w:t>
            </w:r>
          </w:p>
        </w:tc>
        <w:tc>
          <w:tcPr>
            <w:tcW w:w="892" w:type="pct"/>
            <w:shd w:val="clear" w:color="auto" w:fill="auto"/>
            <w:vAlign w:val="center"/>
          </w:tcPr>
          <w:p w14:paraId="305B4494">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原选矿厂尾矿坝</w:t>
            </w:r>
          </w:p>
        </w:tc>
        <w:tc>
          <w:tcPr>
            <w:tcW w:w="964" w:type="pct"/>
            <w:shd w:val="clear" w:color="auto" w:fill="auto"/>
            <w:vAlign w:val="center"/>
          </w:tcPr>
          <w:p w14:paraId="0CE1E1CA">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约26000平方米</w:t>
            </w:r>
          </w:p>
        </w:tc>
        <w:tc>
          <w:tcPr>
            <w:tcW w:w="944" w:type="pct"/>
            <w:vAlign w:val="center"/>
          </w:tcPr>
          <w:p w14:paraId="46582BB8">
            <w:pPr>
              <w:widowControl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约46800立方米</w:t>
            </w:r>
          </w:p>
        </w:tc>
        <w:tc>
          <w:tcPr>
            <w:tcW w:w="1010" w:type="pct"/>
            <w:vAlign w:val="center"/>
          </w:tcPr>
          <w:p w14:paraId="1C3CE491">
            <w:pPr>
              <w:widowControl w:val="0"/>
              <w:kinsoku w:val="0"/>
              <w:autoSpaceDE w:val="0"/>
              <w:autoSpaceDN w:val="0"/>
              <w:adjustRightInd w:val="0"/>
              <w:snapToGrid w:val="0"/>
              <w:spacing w:line="360" w:lineRule="auto"/>
              <w:ind w:left="0" w:leftChars="0" w:firstLine="0" w:firstLineChars="0"/>
              <w:jc w:val="center"/>
              <w:textAlignment w:val="baseline"/>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建设用地</w:t>
            </w:r>
          </w:p>
        </w:tc>
      </w:tr>
      <w:tr w14:paraId="1CD7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0" w:type="pct"/>
            <w:vAlign w:val="center"/>
          </w:tcPr>
          <w:p w14:paraId="11613B8E">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3</w:t>
            </w:r>
          </w:p>
        </w:tc>
        <w:tc>
          <w:tcPr>
            <w:tcW w:w="957" w:type="pct"/>
            <w:vAlign w:val="center"/>
          </w:tcPr>
          <w:p w14:paraId="6E2273EA">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平山区建筑垃圾</w:t>
            </w:r>
          </w:p>
          <w:p w14:paraId="33BCDCE9">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转运调配场</w:t>
            </w:r>
          </w:p>
        </w:tc>
        <w:tc>
          <w:tcPr>
            <w:tcW w:w="892" w:type="pct"/>
            <w:shd w:val="clear" w:color="auto" w:fill="auto"/>
            <w:vAlign w:val="center"/>
          </w:tcPr>
          <w:p w14:paraId="62E0CEF3">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桥北街道办事处富家村</w:t>
            </w:r>
          </w:p>
        </w:tc>
        <w:tc>
          <w:tcPr>
            <w:tcW w:w="964" w:type="pct"/>
            <w:shd w:val="clear" w:color="auto" w:fill="auto"/>
            <w:vAlign w:val="center"/>
          </w:tcPr>
          <w:p w14:paraId="4BA57A5D">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1174平方米</w:t>
            </w:r>
          </w:p>
        </w:tc>
        <w:tc>
          <w:tcPr>
            <w:tcW w:w="944" w:type="pct"/>
            <w:vAlign w:val="center"/>
          </w:tcPr>
          <w:p w14:paraId="7524AC99">
            <w:pPr>
              <w:widowControl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约2150立方米</w:t>
            </w:r>
          </w:p>
        </w:tc>
        <w:tc>
          <w:tcPr>
            <w:tcW w:w="1010" w:type="pct"/>
            <w:vAlign w:val="center"/>
          </w:tcPr>
          <w:p w14:paraId="41333386">
            <w:pPr>
              <w:widowControl w:val="0"/>
              <w:kinsoku w:val="0"/>
              <w:autoSpaceDE w:val="0"/>
              <w:autoSpaceDN w:val="0"/>
              <w:adjustRightInd w:val="0"/>
              <w:snapToGrid w:val="0"/>
              <w:spacing w:line="360" w:lineRule="auto"/>
              <w:ind w:left="0" w:leftChars="0" w:firstLine="0" w:firstLineChars="0"/>
              <w:jc w:val="center"/>
              <w:textAlignment w:val="baseline"/>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建设用地</w:t>
            </w:r>
          </w:p>
        </w:tc>
      </w:tr>
    </w:tbl>
    <w:p w14:paraId="05DC40F9">
      <w:pPr>
        <w:pStyle w:val="23"/>
        <w:ind w:left="0" w:leftChars="0" w:firstLine="0" w:firstLineChars="0"/>
        <w:rPr>
          <w:rFonts w:hint="default"/>
          <w:color w:val="auto"/>
          <w:lang w:val="en-US" w:eastAsia="zh-CN"/>
        </w:rPr>
      </w:pPr>
    </w:p>
    <w:p w14:paraId="5F237499">
      <w:pPr>
        <w:pStyle w:val="4"/>
        <w:bidi w:val="0"/>
        <w:rPr>
          <w:rFonts w:hint="eastAsia"/>
          <w:color w:val="auto"/>
          <w:lang w:val="en-US" w:eastAsia="zh-CN"/>
        </w:rPr>
      </w:pPr>
      <w:bookmarkStart w:id="84" w:name="_Toc11684"/>
      <w:r>
        <w:rPr>
          <w:rFonts w:hint="eastAsia"/>
          <w:color w:val="auto"/>
          <w:lang w:val="en-US" w:eastAsia="zh-CN"/>
        </w:rPr>
        <w:t>7.3.3 临时建筑垃圾转运调配场规划</w:t>
      </w:r>
      <w:bookmarkEnd w:id="84"/>
    </w:p>
    <w:p w14:paraId="7117646E">
      <w:pPr>
        <w:bidi w:val="0"/>
        <w:rPr>
          <w:rFonts w:hint="eastAsia"/>
          <w:color w:val="auto"/>
          <w:lang w:val="en-US" w:eastAsia="zh-CN"/>
        </w:rPr>
      </w:pPr>
      <w:r>
        <w:rPr>
          <w:rFonts w:hint="default"/>
          <w:color w:val="auto"/>
          <w:lang w:val="en-US" w:eastAsia="zh-CN"/>
        </w:rPr>
        <w:t>临时建筑垃圾转运调配场主要用于区域土方调配的建筑渣土的临时贮存和调配中转，兼顾其他建筑垃圾的中转。规划配合市区开发建设和区域土方调配需求，在</w:t>
      </w:r>
      <w:r>
        <w:rPr>
          <w:rFonts w:hint="eastAsia"/>
          <w:color w:val="auto"/>
          <w:lang w:val="en-US" w:eastAsia="zh-CN"/>
        </w:rPr>
        <w:t>各个区均</w:t>
      </w:r>
      <w:r>
        <w:rPr>
          <w:rFonts w:hint="default"/>
          <w:color w:val="auto"/>
          <w:lang w:val="en-US" w:eastAsia="zh-CN"/>
        </w:rPr>
        <w:t>设置临时建筑垃圾转运调配场。临时转运调配场可选择</w:t>
      </w:r>
      <w:r>
        <w:rPr>
          <w:rFonts w:hint="eastAsia"/>
          <w:color w:val="auto"/>
          <w:lang w:val="en-US" w:eastAsia="zh-CN"/>
        </w:rPr>
        <w:t>各区</w:t>
      </w:r>
      <w:r>
        <w:rPr>
          <w:rFonts w:hint="default"/>
          <w:color w:val="auto"/>
          <w:lang w:val="en-US" w:eastAsia="zh-CN"/>
        </w:rPr>
        <w:t>周边的废弃采矿坑作为临时用地，或选择对片区开发影响较小的防护绿地或公园绿地等作为临时建设用地。临时建筑垃圾转运调配场在其所在片区建设基本完成或其临时用地需要启动建设时，即应结束使用期限。临时建筑垃圾转运调配场结束使用后，其临时用地应按原规划性质进行恢复或建设。</w:t>
      </w:r>
      <w:r>
        <w:rPr>
          <w:rFonts w:hint="eastAsia"/>
          <w:color w:val="auto"/>
          <w:lang w:val="en-US" w:eastAsia="zh-CN"/>
        </w:rPr>
        <w:t>临时转运调配场需具备土地手续及建筑垃圾主管部门审批手续，满足相关环保要求。</w:t>
      </w:r>
    </w:p>
    <w:p w14:paraId="4CBB90EB">
      <w:pPr>
        <w:pStyle w:val="3"/>
        <w:bidi w:val="0"/>
        <w:rPr>
          <w:rFonts w:hint="eastAsia"/>
          <w:color w:val="auto"/>
          <w:lang w:val="en-US" w:eastAsia="zh-CN"/>
        </w:rPr>
      </w:pPr>
      <w:bookmarkStart w:id="85" w:name="_Toc29128"/>
      <w:r>
        <w:rPr>
          <w:rFonts w:hint="eastAsia"/>
          <w:color w:val="auto"/>
          <w:lang w:val="en-US" w:eastAsia="zh-CN"/>
        </w:rPr>
        <w:t>7.4 环境保护防控措施</w:t>
      </w:r>
      <w:bookmarkEnd w:id="85"/>
    </w:p>
    <w:p w14:paraId="4EB1622B">
      <w:pPr>
        <w:keepNext/>
        <w:keepLines/>
        <w:kinsoku w:val="0"/>
        <w:autoSpaceDE w:val="0"/>
        <w:autoSpaceDN w:val="0"/>
        <w:bidi w:val="0"/>
        <w:adjustRightInd w:val="0"/>
        <w:snapToGrid w:val="0"/>
        <w:spacing w:before="50" w:beforeLines="50" w:beforeAutospacing="0" w:afterAutospacing="0" w:line="360" w:lineRule="auto"/>
        <w:ind w:firstLine="0" w:firstLineChars="0"/>
        <w:jc w:val="left"/>
        <w:textAlignment w:val="baseline"/>
        <w:outlineLvl w:val="2"/>
        <w:rPr>
          <w:rFonts w:hint="eastAsia" w:ascii="Times New Roman" w:hAnsi="Times New Roman" w:eastAsia="宋体" w:cs="Arial"/>
          <w:b/>
          <w:snapToGrid w:val="0"/>
          <w:color w:val="auto"/>
          <w:kern w:val="0"/>
          <w:sz w:val="28"/>
          <w:szCs w:val="21"/>
          <w:lang w:val="en-US" w:eastAsia="zh-CN"/>
        </w:rPr>
      </w:pPr>
      <w:bookmarkStart w:id="86" w:name="_Toc25951"/>
      <w:r>
        <w:rPr>
          <w:rFonts w:hint="eastAsia" w:ascii="Times New Roman" w:hAnsi="Times New Roman" w:eastAsia="宋体" w:cs="Arial"/>
          <w:b/>
          <w:snapToGrid w:val="0"/>
          <w:color w:val="auto"/>
          <w:kern w:val="0"/>
          <w:sz w:val="28"/>
          <w:szCs w:val="21"/>
          <w:lang w:val="en-US" w:eastAsia="zh-CN"/>
        </w:rPr>
        <w:t>7.4.1 大气环境污染防控措施</w:t>
      </w:r>
      <w:bookmarkEnd w:id="86"/>
    </w:p>
    <w:p w14:paraId="3552531F">
      <w:pPr>
        <w:bidi w:val="0"/>
        <w:rPr>
          <w:rFonts w:hint="default"/>
          <w:color w:val="auto"/>
          <w:lang w:val="en-US" w:eastAsia="zh-CN"/>
        </w:rPr>
      </w:pPr>
      <w:r>
        <w:rPr>
          <w:rFonts w:hint="default"/>
          <w:color w:val="auto"/>
          <w:lang w:val="en-US" w:eastAsia="zh-CN"/>
        </w:rPr>
        <w:t>建筑垃圾产生、收集、运输、处理环节的大气环境污染防控措施应满足《中华人民共和国大气污染防治法》等法律、法规、标准和相关环评的要求。</w:t>
      </w:r>
      <w:r>
        <w:rPr>
          <w:rFonts w:hint="eastAsia"/>
          <w:color w:val="auto"/>
          <w:lang w:val="en-US" w:eastAsia="zh-CN"/>
        </w:rPr>
        <w:t>建筑垃圾资源化厂</w:t>
      </w:r>
      <w:r>
        <w:rPr>
          <w:rFonts w:hint="eastAsia" w:ascii="Times New Roman" w:eastAsia="宋体"/>
          <w:color w:val="auto"/>
          <w:lang w:val="en-US" w:eastAsia="zh-CN"/>
        </w:rPr>
        <w:t>及临时转运调配场</w:t>
      </w:r>
      <w:r>
        <w:rPr>
          <w:rFonts w:hint="default"/>
          <w:color w:val="auto"/>
          <w:lang w:val="en-US" w:eastAsia="zh-CN"/>
        </w:rPr>
        <w:t>的大气环境污染防控措施包括但不限于以下规定。</w:t>
      </w:r>
    </w:p>
    <w:p w14:paraId="243C6922">
      <w:pPr>
        <w:bidi w:val="0"/>
        <w:rPr>
          <w:rFonts w:hint="default"/>
          <w:color w:val="auto"/>
          <w:lang w:val="en-US" w:eastAsia="zh-CN"/>
        </w:rPr>
      </w:pPr>
      <w:r>
        <w:rPr>
          <w:rFonts w:hint="eastAsia" w:ascii="Times New Roman" w:eastAsia="宋体"/>
          <w:color w:val="auto"/>
          <w:lang w:val="en-US" w:eastAsia="zh-CN"/>
        </w:rPr>
        <w:t>（1）</w:t>
      </w:r>
      <w:r>
        <w:rPr>
          <w:rFonts w:hint="default"/>
          <w:color w:val="auto"/>
          <w:lang w:val="en-US" w:eastAsia="zh-CN"/>
        </w:rPr>
        <w:t>应做好堆体临时覆盖，必要时安装防风抑尘网。</w:t>
      </w:r>
    </w:p>
    <w:p w14:paraId="37520B69">
      <w:pPr>
        <w:kinsoku w:val="0"/>
        <w:autoSpaceDE w:val="0"/>
        <w:autoSpaceDN w:val="0"/>
        <w:adjustRightInd w:val="0"/>
        <w:snapToGrid w:val="0"/>
        <w:spacing w:line="360" w:lineRule="auto"/>
        <w:ind w:firstLine="560" w:firstLineChars="200"/>
        <w:jc w:val="left"/>
        <w:textAlignment w:val="baseline"/>
        <w:rPr>
          <w:rFonts w:hint="default" w:ascii="Times New Roman" w:hAnsi="Times New Roman" w:eastAsia="宋体" w:cs="Arial"/>
          <w:snapToGrid w:val="0"/>
          <w:color w:val="auto"/>
          <w:kern w:val="0"/>
          <w:sz w:val="28"/>
          <w:szCs w:val="21"/>
          <w:lang w:val="en-US" w:eastAsia="zh-CN"/>
        </w:rPr>
      </w:pPr>
      <w:r>
        <w:rPr>
          <w:rFonts w:hint="eastAsia" w:ascii="Times New Roman" w:hAnsi="Times New Roman" w:eastAsia="宋体" w:cs="Arial"/>
          <w:snapToGrid w:val="0"/>
          <w:color w:val="auto"/>
          <w:kern w:val="0"/>
          <w:sz w:val="28"/>
          <w:szCs w:val="21"/>
          <w:lang w:val="en-US" w:eastAsia="zh-CN"/>
        </w:rPr>
        <w:t>（2）</w:t>
      </w:r>
      <w:r>
        <w:rPr>
          <w:rFonts w:hint="default" w:ascii="Times New Roman" w:hAnsi="Times New Roman" w:eastAsia="宋体" w:cs="Arial"/>
          <w:snapToGrid w:val="0"/>
          <w:color w:val="auto"/>
          <w:kern w:val="0"/>
          <w:sz w:val="28"/>
          <w:szCs w:val="21"/>
          <w:lang w:val="en-US" w:eastAsia="zh-CN"/>
        </w:rPr>
        <w:t>应通过</w:t>
      </w:r>
      <w:r>
        <w:rPr>
          <w:rFonts w:hint="eastAsia" w:cs="Arial"/>
          <w:snapToGrid w:val="0"/>
          <w:color w:val="auto"/>
          <w:kern w:val="0"/>
          <w:sz w:val="28"/>
          <w:szCs w:val="21"/>
          <w:lang w:val="en-US" w:eastAsia="zh-CN"/>
        </w:rPr>
        <w:t>洒水</w:t>
      </w:r>
      <w:r>
        <w:rPr>
          <w:rFonts w:hint="default" w:ascii="Times New Roman" w:hAnsi="Times New Roman" w:eastAsia="宋体" w:cs="Arial"/>
          <w:snapToGrid w:val="0"/>
          <w:color w:val="auto"/>
          <w:kern w:val="0"/>
          <w:sz w:val="28"/>
          <w:szCs w:val="21"/>
          <w:lang w:val="en-US" w:eastAsia="zh-CN"/>
        </w:rPr>
        <w:t>降尘、封闭设备、局部抽吸等措施控制粉尘污染，并符合《建筑废弃物再生工厂设计标准》</w:t>
      </w:r>
      <w:r>
        <w:rPr>
          <w:rFonts w:hint="eastAsia" w:ascii="Times New Roman" w:hAnsi="Times New Roman" w:eastAsia="宋体" w:cs="Arial"/>
          <w:snapToGrid w:val="0"/>
          <w:color w:val="auto"/>
          <w:kern w:val="0"/>
          <w:sz w:val="28"/>
          <w:szCs w:val="21"/>
          <w:lang w:val="en-US" w:eastAsia="zh-CN"/>
        </w:rPr>
        <w:t>（</w:t>
      </w:r>
      <w:r>
        <w:rPr>
          <w:rFonts w:hint="default" w:ascii="Times New Roman" w:hAnsi="Times New Roman" w:eastAsia="宋体" w:cs="Arial"/>
          <w:snapToGrid w:val="0"/>
          <w:color w:val="auto"/>
          <w:kern w:val="0"/>
          <w:sz w:val="28"/>
          <w:szCs w:val="21"/>
          <w:lang w:val="en-US" w:eastAsia="zh-CN"/>
        </w:rPr>
        <w:t>GB51322-201</w:t>
      </w:r>
      <w:r>
        <w:rPr>
          <w:rFonts w:hint="eastAsia" w:ascii="Times New Roman" w:hAnsi="Times New Roman" w:eastAsia="宋体" w:cs="Arial"/>
          <w:snapToGrid w:val="0"/>
          <w:color w:val="auto"/>
          <w:kern w:val="0"/>
          <w:sz w:val="28"/>
          <w:szCs w:val="21"/>
          <w:lang w:val="en-US" w:eastAsia="zh-CN"/>
        </w:rPr>
        <w:t>8</w:t>
      </w:r>
      <w:r>
        <w:rPr>
          <w:rFonts w:hint="default" w:ascii="Times New Roman" w:hAnsi="Times New Roman" w:eastAsia="宋体" w:cs="Arial"/>
          <w:snapToGrid w:val="0"/>
          <w:color w:val="auto"/>
          <w:kern w:val="0"/>
          <w:sz w:val="28"/>
          <w:szCs w:val="21"/>
          <w:lang w:val="en-US" w:eastAsia="zh-CN"/>
        </w:rPr>
        <w:t>）、《建筑垃圾处理技术标准》（CJJ/T134-2019）的规定</w:t>
      </w:r>
      <w:r>
        <w:rPr>
          <w:rFonts w:hint="eastAsia" w:ascii="Times New Roman" w:hAnsi="Times New Roman" w:eastAsia="宋体" w:cs="Arial"/>
          <w:snapToGrid w:val="0"/>
          <w:color w:val="auto"/>
          <w:kern w:val="0"/>
          <w:sz w:val="28"/>
          <w:szCs w:val="21"/>
          <w:lang w:val="en-US" w:eastAsia="zh-CN"/>
        </w:rPr>
        <w:t>。</w:t>
      </w:r>
    </w:p>
    <w:p w14:paraId="560660A6">
      <w:pPr>
        <w:kinsoku w:val="0"/>
        <w:autoSpaceDE w:val="0"/>
        <w:autoSpaceDN w:val="0"/>
        <w:adjustRightInd w:val="0"/>
        <w:snapToGrid w:val="0"/>
        <w:spacing w:line="360" w:lineRule="auto"/>
        <w:ind w:firstLine="560" w:firstLineChars="200"/>
        <w:jc w:val="left"/>
        <w:textAlignment w:val="baseline"/>
        <w:rPr>
          <w:rFonts w:hint="default" w:ascii="Times New Roman" w:hAnsi="Times New Roman" w:eastAsia="宋体" w:cs="Arial"/>
          <w:snapToGrid w:val="0"/>
          <w:color w:val="auto"/>
          <w:kern w:val="0"/>
          <w:sz w:val="28"/>
          <w:szCs w:val="21"/>
          <w:lang w:val="en-US" w:eastAsia="zh-CN"/>
        </w:rPr>
      </w:pPr>
      <w:r>
        <w:rPr>
          <w:rFonts w:hint="eastAsia" w:ascii="Times New Roman" w:hAnsi="Times New Roman" w:eastAsia="宋体" w:cs="Arial"/>
          <w:snapToGrid w:val="0"/>
          <w:color w:val="auto"/>
          <w:kern w:val="0"/>
          <w:sz w:val="28"/>
          <w:szCs w:val="21"/>
          <w:lang w:val="en-US" w:eastAsia="zh-CN"/>
        </w:rPr>
        <w:t>（3）</w:t>
      </w:r>
      <w:r>
        <w:rPr>
          <w:rFonts w:hint="default" w:ascii="Times New Roman" w:hAnsi="Times New Roman" w:eastAsia="宋体" w:cs="Arial"/>
          <w:snapToGrid w:val="0"/>
          <w:color w:val="auto"/>
          <w:kern w:val="0"/>
          <w:sz w:val="28"/>
          <w:szCs w:val="21"/>
          <w:lang w:val="en-US" w:eastAsia="zh-CN"/>
        </w:rPr>
        <w:t>扬尘排放应符合《大气污染物综合排放标准》</w:t>
      </w:r>
      <w:r>
        <w:rPr>
          <w:rFonts w:hint="eastAsia" w:cs="Arial"/>
          <w:snapToGrid w:val="0"/>
          <w:color w:val="auto"/>
          <w:kern w:val="0"/>
          <w:sz w:val="28"/>
          <w:szCs w:val="21"/>
          <w:lang w:val="en-US" w:eastAsia="zh-CN"/>
        </w:rPr>
        <w:t>（</w:t>
      </w:r>
      <w:r>
        <w:rPr>
          <w:rFonts w:hint="default" w:ascii="Times New Roman" w:hAnsi="Times New Roman" w:eastAsia="宋体" w:cs="Arial"/>
          <w:snapToGrid w:val="0"/>
          <w:color w:val="auto"/>
          <w:kern w:val="0"/>
          <w:sz w:val="28"/>
          <w:szCs w:val="21"/>
          <w:lang w:val="en-US" w:eastAsia="zh-CN"/>
        </w:rPr>
        <w:t>GB16297-1996</w:t>
      </w:r>
      <w:r>
        <w:rPr>
          <w:rFonts w:hint="eastAsia" w:cs="Arial"/>
          <w:snapToGrid w:val="0"/>
          <w:color w:val="auto"/>
          <w:kern w:val="0"/>
          <w:sz w:val="28"/>
          <w:szCs w:val="21"/>
          <w:lang w:val="en-US" w:eastAsia="zh-CN"/>
        </w:rPr>
        <w:t>）</w:t>
      </w:r>
      <w:r>
        <w:rPr>
          <w:rFonts w:hint="default" w:ascii="Times New Roman" w:hAnsi="Times New Roman" w:eastAsia="宋体" w:cs="Arial"/>
          <w:snapToGrid w:val="0"/>
          <w:color w:val="auto"/>
          <w:kern w:val="0"/>
          <w:sz w:val="28"/>
          <w:szCs w:val="21"/>
          <w:lang w:val="en-US" w:eastAsia="zh-CN"/>
        </w:rPr>
        <w:t>的规定。</w:t>
      </w:r>
    </w:p>
    <w:p w14:paraId="6350D152">
      <w:pPr>
        <w:keepNext/>
        <w:keepLines/>
        <w:kinsoku w:val="0"/>
        <w:autoSpaceDE w:val="0"/>
        <w:autoSpaceDN w:val="0"/>
        <w:bidi w:val="0"/>
        <w:adjustRightInd w:val="0"/>
        <w:snapToGrid w:val="0"/>
        <w:spacing w:before="50" w:beforeLines="50" w:beforeAutospacing="0" w:afterAutospacing="0" w:line="360" w:lineRule="auto"/>
        <w:ind w:firstLine="0" w:firstLineChars="0"/>
        <w:jc w:val="left"/>
        <w:textAlignment w:val="baseline"/>
        <w:outlineLvl w:val="2"/>
        <w:rPr>
          <w:rFonts w:hint="eastAsia" w:ascii="Times New Roman" w:hAnsi="Times New Roman" w:eastAsia="宋体" w:cs="Arial"/>
          <w:b/>
          <w:snapToGrid w:val="0"/>
          <w:color w:val="auto"/>
          <w:kern w:val="0"/>
          <w:sz w:val="28"/>
          <w:szCs w:val="21"/>
          <w:lang w:val="en-US" w:eastAsia="zh-CN"/>
        </w:rPr>
      </w:pPr>
      <w:bookmarkStart w:id="87" w:name="_Toc17797"/>
      <w:r>
        <w:rPr>
          <w:rFonts w:hint="eastAsia" w:ascii="Times New Roman" w:hAnsi="Times New Roman" w:eastAsia="宋体" w:cs="Arial"/>
          <w:b/>
          <w:snapToGrid w:val="0"/>
          <w:color w:val="auto"/>
          <w:kern w:val="0"/>
          <w:sz w:val="28"/>
          <w:szCs w:val="21"/>
          <w:lang w:val="en-US" w:eastAsia="zh-CN"/>
        </w:rPr>
        <w:t>7.4.2 水环境污染防控措施</w:t>
      </w:r>
      <w:bookmarkEnd w:id="87"/>
    </w:p>
    <w:p w14:paraId="064C6394">
      <w:pPr>
        <w:bidi w:val="0"/>
        <w:rPr>
          <w:rFonts w:hint="default"/>
          <w:color w:val="auto"/>
          <w:lang w:val="en-US" w:eastAsia="zh-CN"/>
        </w:rPr>
      </w:pPr>
      <w:r>
        <w:rPr>
          <w:rFonts w:hint="default"/>
          <w:color w:val="auto"/>
          <w:lang w:val="en-US" w:eastAsia="zh-CN"/>
        </w:rPr>
        <w:t>建筑垃圾产生、收集、运输、处理环节的水环境污染防控措施应满足《中华人民共和国水污染防治法》等法律、法规、标准和相关环评的要求。</w:t>
      </w:r>
    </w:p>
    <w:p w14:paraId="27F7DDFC">
      <w:pPr>
        <w:bidi w:val="0"/>
        <w:rPr>
          <w:rFonts w:hint="default"/>
          <w:color w:val="auto"/>
          <w:lang w:val="en-US" w:eastAsia="zh-CN"/>
        </w:rPr>
      </w:pPr>
      <w:r>
        <w:rPr>
          <w:rFonts w:hint="eastAsia"/>
          <w:color w:val="auto"/>
          <w:lang w:val="en-US" w:eastAsia="zh-CN"/>
        </w:rPr>
        <w:t>建筑垃圾资源化厂</w:t>
      </w:r>
      <w:r>
        <w:rPr>
          <w:rFonts w:hint="default"/>
          <w:color w:val="auto"/>
          <w:lang w:val="en-US" w:eastAsia="zh-CN"/>
        </w:rPr>
        <w:t>及临时转运调配场的水环境污染防控措施包括但不限于以下规定。</w:t>
      </w:r>
    </w:p>
    <w:p w14:paraId="35A37EC6">
      <w:pPr>
        <w:bidi w:val="0"/>
        <w:rPr>
          <w:rFonts w:hint="default"/>
          <w:color w:val="auto"/>
          <w:lang w:val="en-US" w:eastAsia="zh-CN"/>
        </w:rPr>
      </w:pPr>
      <w:r>
        <w:rPr>
          <w:rFonts w:hint="eastAsia" w:ascii="Times New Roman" w:eastAsia="宋体"/>
          <w:color w:val="auto"/>
          <w:lang w:val="en-US" w:eastAsia="zh-CN"/>
        </w:rPr>
        <w:t>（1）</w:t>
      </w:r>
      <w:r>
        <w:rPr>
          <w:rFonts w:hint="default"/>
          <w:color w:val="auto"/>
          <w:lang w:val="en-US" w:eastAsia="zh-CN"/>
        </w:rPr>
        <w:t>转运调配场和资源化利用厂（场）的生产废水应经处理后循环利用，未经处理达标的生产废水不应直接外排。</w:t>
      </w:r>
    </w:p>
    <w:p w14:paraId="62DDAA19">
      <w:pPr>
        <w:bidi w:val="0"/>
        <w:rPr>
          <w:rFonts w:hint="default"/>
          <w:color w:val="auto"/>
          <w:lang w:val="en-US" w:eastAsia="zh-CN"/>
        </w:rPr>
      </w:pPr>
      <w:r>
        <w:rPr>
          <w:rFonts w:hint="eastAsia" w:ascii="Times New Roman" w:eastAsia="宋体"/>
          <w:color w:val="auto"/>
          <w:lang w:val="en-US" w:eastAsia="zh-CN"/>
        </w:rPr>
        <w:t>（2）</w:t>
      </w:r>
      <w:r>
        <w:rPr>
          <w:rFonts w:hint="default"/>
          <w:color w:val="auto"/>
          <w:lang w:val="en-US" w:eastAsia="zh-CN"/>
        </w:rPr>
        <w:t>堆填处置场污水处理后排放标准应达到国家现行相关标准的指标要求或环保部门规定执行的排放标准。</w:t>
      </w:r>
    </w:p>
    <w:p w14:paraId="3D262346">
      <w:pPr>
        <w:bidi w:val="0"/>
        <w:rPr>
          <w:rFonts w:hint="default"/>
          <w:color w:val="auto"/>
          <w:lang w:val="en-US" w:eastAsia="zh-CN"/>
        </w:rPr>
      </w:pPr>
      <w:r>
        <w:rPr>
          <w:rFonts w:hint="eastAsia" w:ascii="Times New Roman" w:eastAsia="宋体"/>
          <w:color w:val="auto"/>
          <w:lang w:val="en-US" w:eastAsia="zh-CN"/>
        </w:rPr>
        <w:t>（3）</w:t>
      </w:r>
      <w:r>
        <w:rPr>
          <w:rFonts w:hint="default"/>
          <w:color w:val="auto"/>
          <w:lang w:val="en-US" w:eastAsia="zh-CN"/>
        </w:rPr>
        <w:t>生活污水应按照相关要求经厂（场）内预处理后纳入市政污水处理系统。</w:t>
      </w:r>
    </w:p>
    <w:p w14:paraId="00D2069C">
      <w:pPr>
        <w:keepNext/>
        <w:keepLines/>
        <w:kinsoku w:val="0"/>
        <w:autoSpaceDE w:val="0"/>
        <w:autoSpaceDN w:val="0"/>
        <w:bidi w:val="0"/>
        <w:adjustRightInd w:val="0"/>
        <w:snapToGrid w:val="0"/>
        <w:spacing w:before="50" w:beforeLines="50" w:beforeAutospacing="0" w:afterAutospacing="0" w:line="360" w:lineRule="auto"/>
        <w:ind w:firstLine="0" w:firstLineChars="0"/>
        <w:jc w:val="left"/>
        <w:textAlignment w:val="baseline"/>
        <w:outlineLvl w:val="2"/>
        <w:rPr>
          <w:rFonts w:hint="eastAsia" w:ascii="Times New Roman" w:hAnsi="Times New Roman" w:eastAsia="宋体" w:cs="Arial"/>
          <w:b/>
          <w:snapToGrid w:val="0"/>
          <w:color w:val="auto"/>
          <w:kern w:val="0"/>
          <w:sz w:val="28"/>
          <w:szCs w:val="21"/>
          <w:lang w:val="en-US" w:eastAsia="zh-CN"/>
        </w:rPr>
      </w:pPr>
      <w:bookmarkStart w:id="88" w:name="_Toc17285"/>
      <w:r>
        <w:rPr>
          <w:rFonts w:hint="eastAsia" w:ascii="Times New Roman" w:hAnsi="Times New Roman" w:eastAsia="宋体" w:cs="Arial"/>
          <w:b/>
          <w:snapToGrid w:val="0"/>
          <w:color w:val="auto"/>
          <w:kern w:val="0"/>
          <w:sz w:val="28"/>
          <w:szCs w:val="21"/>
          <w:lang w:val="en-US" w:eastAsia="zh-CN"/>
        </w:rPr>
        <w:t>7.4.3 噪声环境污染防控措施</w:t>
      </w:r>
      <w:bookmarkEnd w:id="88"/>
    </w:p>
    <w:p w14:paraId="5E90AB9D">
      <w:pPr>
        <w:bidi w:val="0"/>
        <w:rPr>
          <w:rFonts w:hint="default"/>
          <w:color w:val="auto"/>
          <w:lang w:val="en-US" w:eastAsia="zh-CN"/>
        </w:rPr>
      </w:pPr>
      <w:r>
        <w:rPr>
          <w:rFonts w:hint="default"/>
          <w:color w:val="auto"/>
          <w:lang w:val="en-US" w:eastAsia="zh-CN"/>
        </w:rPr>
        <w:t>建筑垃圾产生、收集、运输、处理环节的噪声环境污染防控措施应满足《中华人民共和国噪声污染防治法》等法律、法规、标准和相关环评的要求</w:t>
      </w:r>
      <w:r>
        <w:rPr>
          <w:rFonts w:hint="eastAsia"/>
          <w:color w:val="auto"/>
          <w:lang w:val="en-US" w:eastAsia="zh-CN"/>
        </w:rPr>
        <w:t>.</w:t>
      </w:r>
    </w:p>
    <w:p w14:paraId="020A10DD">
      <w:pPr>
        <w:bidi w:val="0"/>
        <w:rPr>
          <w:rFonts w:hint="default"/>
          <w:color w:val="auto"/>
          <w:lang w:val="en-US" w:eastAsia="zh-CN"/>
        </w:rPr>
      </w:pPr>
      <w:r>
        <w:rPr>
          <w:rFonts w:hint="eastAsia"/>
          <w:color w:val="auto"/>
          <w:lang w:val="en-US" w:eastAsia="zh-CN"/>
        </w:rPr>
        <w:t>建筑垃圾资源化厂</w:t>
      </w:r>
      <w:r>
        <w:rPr>
          <w:rFonts w:hint="default"/>
          <w:color w:val="auto"/>
          <w:lang w:val="en-US" w:eastAsia="zh-CN"/>
        </w:rPr>
        <w:t>及临时转运调配场的噪声环境污染防控措施包括但不限于以下规定。</w:t>
      </w:r>
    </w:p>
    <w:p w14:paraId="702BD633">
      <w:pPr>
        <w:bidi w:val="0"/>
        <w:rPr>
          <w:rFonts w:hint="default"/>
          <w:color w:val="auto"/>
          <w:lang w:val="en-US" w:eastAsia="zh-CN"/>
        </w:rPr>
      </w:pPr>
      <w:r>
        <w:rPr>
          <w:rFonts w:hint="eastAsia" w:ascii="Times New Roman" w:eastAsia="宋体"/>
          <w:color w:val="auto"/>
          <w:lang w:val="en-US" w:eastAsia="zh-CN"/>
        </w:rPr>
        <w:t>（1）</w:t>
      </w:r>
      <w:r>
        <w:rPr>
          <w:rFonts w:hint="eastAsia"/>
          <w:color w:val="auto"/>
          <w:lang w:val="en-US" w:eastAsia="zh-CN"/>
        </w:rPr>
        <w:t>建筑垃圾资源化厂</w:t>
      </w:r>
      <w:r>
        <w:rPr>
          <w:rFonts w:hint="default"/>
          <w:color w:val="auto"/>
          <w:lang w:val="en-US" w:eastAsia="zh-CN"/>
        </w:rPr>
        <w:t>及临时转运调配场与周边居民区</w:t>
      </w:r>
      <w:r>
        <w:rPr>
          <w:rFonts w:hint="eastAsia" w:ascii="Times New Roman" w:eastAsia="宋体"/>
          <w:color w:val="auto"/>
          <w:lang w:val="en-US" w:eastAsia="zh-CN"/>
        </w:rPr>
        <w:t>宜</w:t>
      </w:r>
      <w:r>
        <w:rPr>
          <w:rFonts w:hint="default"/>
          <w:color w:val="auto"/>
          <w:lang w:val="en-US" w:eastAsia="zh-CN"/>
        </w:rPr>
        <w:t>设置绿化缓冲带，必要时设置噪声屏障。</w:t>
      </w:r>
    </w:p>
    <w:p w14:paraId="4B80EE4E">
      <w:pPr>
        <w:bidi w:val="0"/>
        <w:rPr>
          <w:rFonts w:hint="default"/>
          <w:color w:val="auto"/>
          <w:lang w:val="en-US" w:eastAsia="zh-CN"/>
        </w:rPr>
      </w:pPr>
      <w:r>
        <w:rPr>
          <w:rFonts w:hint="eastAsia" w:ascii="Times New Roman" w:eastAsia="宋体"/>
          <w:color w:val="auto"/>
          <w:lang w:val="en-US" w:eastAsia="zh-CN"/>
        </w:rPr>
        <w:t>（2）</w:t>
      </w:r>
      <w:r>
        <w:rPr>
          <w:rFonts w:hint="default"/>
          <w:color w:val="auto"/>
          <w:lang w:val="en-US" w:eastAsia="zh-CN"/>
        </w:rPr>
        <w:t>噪声控制措施应符合《建筑垃圾处理技术标准》（CJJ/T134-2019）的规定。</w:t>
      </w:r>
    </w:p>
    <w:p w14:paraId="363DE9D2">
      <w:pPr>
        <w:bidi w:val="0"/>
        <w:rPr>
          <w:rFonts w:hint="default"/>
          <w:color w:val="auto"/>
          <w:lang w:val="en-US" w:eastAsia="zh-CN"/>
        </w:rPr>
      </w:pPr>
      <w:r>
        <w:rPr>
          <w:rFonts w:hint="eastAsia" w:ascii="Times New Roman" w:eastAsia="宋体"/>
          <w:color w:val="auto"/>
          <w:lang w:val="en-US" w:eastAsia="zh-CN"/>
        </w:rPr>
        <w:t>（3）</w:t>
      </w:r>
      <w:r>
        <w:rPr>
          <w:rFonts w:hint="default"/>
          <w:color w:val="auto"/>
          <w:lang w:val="en-US" w:eastAsia="zh-CN"/>
        </w:rPr>
        <w:t>厂（场）界噪声限值应符合《工业企业厂界环境噪声排放标准》（GB12348-2008）的规定。</w:t>
      </w:r>
    </w:p>
    <w:p w14:paraId="6B464DBE">
      <w:pPr>
        <w:keepNext/>
        <w:keepLines/>
        <w:kinsoku w:val="0"/>
        <w:autoSpaceDE w:val="0"/>
        <w:autoSpaceDN w:val="0"/>
        <w:bidi w:val="0"/>
        <w:adjustRightInd w:val="0"/>
        <w:snapToGrid w:val="0"/>
        <w:spacing w:before="50" w:beforeLines="50" w:beforeAutospacing="0" w:afterAutospacing="0" w:line="360" w:lineRule="auto"/>
        <w:ind w:firstLine="0" w:firstLineChars="0"/>
        <w:jc w:val="left"/>
        <w:textAlignment w:val="baseline"/>
        <w:outlineLvl w:val="2"/>
        <w:rPr>
          <w:rFonts w:hint="eastAsia" w:ascii="Times New Roman" w:hAnsi="Times New Roman" w:eastAsia="宋体" w:cs="Arial"/>
          <w:b/>
          <w:snapToGrid w:val="0"/>
          <w:color w:val="auto"/>
          <w:kern w:val="0"/>
          <w:sz w:val="28"/>
          <w:szCs w:val="21"/>
          <w:lang w:val="en-US" w:eastAsia="zh-CN"/>
        </w:rPr>
      </w:pPr>
      <w:bookmarkStart w:id="89" w:name="_Toc16543"/>
      <w:r>
        <w:rPr>
          <w:rFonts w:hint="eastAsia" w:ascii="Times New Roman" w:hAnsi="Times New Roman" w:eastAsia="宋体" w:cs="Arial"/>
          <w:b/>
          <w:snapToGrid w:val="0"/>
          <w:color w:val="auto"/>
          <w:kern w:val="0"/>
          <w:sz w:val="28"/>
          <w:szCs w:val="21"/>
          <w:lang w:val="en-US" w:eastAsia="zh-CN"/>
        </w:rPr>
        <w:t>7.4.4 土壤环境污染防控措施</w:t>
      </w:r>
      <w:bookmarkEnd w:id="89"/>
    </w:p>
    <w:p w14:paraId="1E7878B3">
      <w:pPr>
        <w:bidi w:val="0"/>
        <w:rPr>
          <w:rFonts w:hint="default"/>
          <w:color w:val="auto"/>
          <w:lang w:val="en-US" w:eastAsia="zh-CN"/>
        </w:rPr>
      </w:pPr>
      <w:r>
        <w:rPr>
          <w:rFonts w:hint="default"/>
          <w:color w:val="auto"/>
          <w:lang w:val="en-US" w:eastAsia="zh-CN"/>
        </w:rPr>
        <w:t>建筑垃圾产生、运输、处置环节的土壤环境污染防控措施应满足《中华人民共和国土壤污染防治法》等法律、法规、标准和相关环评的要求。</w:t>
      </w:r>
    </w:p>
    <w:p w14:paraId="3D02DB45">
      <w:pPr>
        <w:bidi w:val="0"/>
        <w:rPr>
          <w:rFonts w:hint="default"/>
          <w:color w:val="auto"/>
          <w:lang w:val="en-US" w:eastAsia="zh-CN"/>
        </w:rPr>
      </w:pPr>
      <w:r>
        <w:rPr>
          <w:rFonts w:hint="eastAsia"/>
          <w:color w:val="auto"/>
          <w:lang w:val="en-US" w:eastAsia="zh-CN"/>
        </w:rPr>
        <w:t>建筑垃圾资源化厂</w:t>
      </w:r>
      <w:r>
        <w:rPr>
          <w:rFonts w:hint="default"/>
          <w:color w:val="auto"/>
          <w:lang w:val="en-US" w:eastAsia="zh-CN"/>
        </w:rPr>
        <w:t>及临时转运调配场的土壤环境污染防控措施包括但不限于以下规定。</w:t>
      </w:r>
    </w:p>
    <w:p w14:paraId="18AB870C">
      <w:pPr>
        <w:bidi w:val="0"/>
        <w:rPr>
          <w:rFonts w:hint="default"/>
          <w:color w:val="auto"/>
          <w:lang w:val="en-US" w:eastAsia="zh-CN"/>
        </w:rPr>
      </w:pPr>
      <w:r>
        <w:rPr>
          <w:rFonts w:hint="default"/>
          <w:color w:val="auto"/>
          <w:lang w:val="en-US" w:eastAsia="zh-CN"/>
        </w:rPr>
        <w:t>（1）对于工程渣土，要开展</w:t>
      </w:r>
      <w:r>
        <w:rPr>
          <w:rFonts w:hint="eastAsia"/>
          <w:color w:val="auto"/>
          <w:lang w:val="en-US" w:eastAsia="zh-CN"/>
        </w:rPr>
        <w:t>土壤监测</w:t>
      </w:r>
      <w:r>
        <w:rPr>
          <w:rFonts w:hint="default"/>
          <w:color w:val="auto"/>
          <w:lang w:val="en-US" w:eastAsia="zh-CN"/>
        </w:rPr>
        <w:t>，根据不同土质性状和用途，按照工程渣土分类标准，采取不同的处置措施。</w:t>
      </w:r>
    </w:p>
    <w:p w14:paraId="6EDA6A3C">
      <w:pPr>
        <w:bidi w:val="0"/>
        <w:rPr>
          <w:rFonts w:hint="default"/>
          <w:color w:val="auto"/>
          <w:lang w:val="en-US" w:eastAsia="zh-CN"/>
        </w:rPr>
      </w:pPr>
      <w:r>
        <w:rPr>
          <w:rFonts w:hint="default"/>
          <w:color w:val="auto"/>
          <w:lang w:val="en-US" w:eastAsia="zh-CN"/>
        </w:rPr>
        <w:t>（2）针对建筑垃圾对土壤带来的污染种类，应做好源头控制。</w:t>
      </w:r>
    </w:p>
    <w:p w14:paraId="7368E4DA">
      <w:pPr>
        <w:bidi w:val="0"/>
        <w:rPr>
          <w:rFonts w:hint="default"/>
          <w:color w:val="auto"/>
          <w:lang w:val="en-US" w:eastAsia="zh-CN"/>
        </w:rPr>
      </w:pPr>
      <w:r>
        <w:rPr>
          <w:rFonts w:hint="default"/>
          <w:color w:val="auto"/>
          <w:lang w:val="en-US" w:eastAsia="zh-CN"/>
        </w:rPr>
        <w:t>（3）积极做好污水导排系统和污水处理设施，做好</w:t>
      </w:r>
      <w:r>
        <w:rPr>
          <w:rFonts w:hint="eastAsia" w:ascii="Times New Roman" w:eastAsia="宋体"/>
          <w:color w:val="auto"/>
          <w:lang w:val="en-US" w:eastAsia="zh-CN"/>
        </w:rPr>
        <w:t>转运、堆填</w:t>
      </w:r>
      <w:r>
        <w:rPr>
          <w:rFonts w:hint="default"/>
          <w:color w:val="auto"/>
          <w:lang w:val="en-US" w:eastAsia="zh-CN"/>
        </w:rPr>
        <w:t>、消纳区</w:t>
      </w:r>
      <w:r>
        <w:rPr>
          <w:rFonts w:hint="eastAsia" w:ascii="Times New Roman" w:eastAsia="宋体"/>
          <w:color w:val="auto"/>
          <w:lang w:val="en-US" w:eastAsia="zh-CN"/>
        </w:rPr>
        <w:t>的临时</w:t>
      </w:r>
      <w:r>
        <w:rPr>
          <w:rFonts w:hint="default"/>
          <w:color w:val="auto"/>
          <w:lang w:val="en-US" w:eastAsia="zh-CN"/>
        </w:rPr>
        <w:t>覆盖，减轻污染。</w:t>
      </w:r>
    </w:p>
    <w:p w14:paraId="67B71F38">
      <w:pPr>
        <w:bidi w:val="0"/>
        <w:rPr>
          <w:rFonts w:hint="default"/>
          <w:color w:val="auto"/>
          <w:lang w:val="en-US" w:eastAsia="zh-CN"/>
        </w:rPr>
      </w:pPr>
      <w:r>
        <w:rPr>
          <w:rFonts w:hint="default"/>
          <w:color w:val="auto"/>
          <w:lang w:val="en-US" w:eastAsia="zh-CN"/>
        </w:rPr>
        <w:t>（4）建筑垃圾建设项目涉及土地利用的规划和可能造成土壤污染的建设项目，应当依法进行环境影响评价。</w:t>
      </w:r>
    </w:p>
    <w:p w14:paraId="2CFC33B2">
      <w:pPr>
        <w:bidi w:val="0"/>
        <w:rPr>
          <w:rFonts w:hint="default"/>
          <w:color w:val="auto"/>
          <w:lang w:val="en-US" w:eastAsia="zh-CN"/>
        </w:rPr>
      </w:pPr>
      <w:r>
        <w:rPr>
          <w:rFonts w:hint="default"/>
          <w:color w:val="auto"/>
          <w:lang w:val="en-US" w:eastAsia="zh-CN"/>
        </w:rPr>
        <w:t>（5）建筑垃圾项目用地和周边环境用地土壤保护应满足《中华人民共和国土壤污染防治法》和其他法律法规的相关规定。</w:t>
      </w:r>
    </w:p>
    <w:p w14:paraId="7588876A">
      <w:pPr>
        <w:rPr>
          <w:rFonts w:hint="default"/>
          <w:color w:val="auto"/>
          <w:lang w:val="en-US" w:eastAsia="zh-CN"/>
        </w:rPr>
      </w:pPr>
      <w:r>
        <w:rPr>
          <w:rFonts w:hint="default"/>
          <w:color w:val="auto"/>
          <w:lang w:val="en-US" w:eastAsia="zh-CN"/>
        </w:rPr>
        <w:br w:type="page"/>
      </w:r>
    </w:p>
    <w:p w14:paraId="30074840">
      <w:pPr>
        <w:pStyle w:val="2"/>
        <w:bidi w:val="0"/>
        <w:rPr>
          <w:rFonts w:hint="default"/>
          <w:color w:val="auto"/>
          <w:lang w:val="en-US" w:eastAsia="zh-CN"/>
        </w:rPr>
      </w:pPr>
      <w:bookmarkStart w:id="90" w:name="_Toc11443"/>
      <w:r>
        <w:rPr>
          <w:rFonts w:hint="eastAsia"/>
          <w:color w:val="auto"/>
          <w:lang w:val="en-US" w:eastAsia="zh-CN"/>
        </w:rPr>
        <w:t>第八章 建筑垃圾存量治理规划</w:t>
      </w:r>
      <w:bookmarkEnd w:id="90"/>
    </w:p>
    <w:p w14:paraId="5DA1BE5E">
      <w:pPr>
        <w:pStyle w:val="3"/>
        <w:bidi w:val="0"/>
        <w:rPr>
          <w:rFonts w:hint="default"/>
          <w:color w:val="auto"/>
          <w:lang w:val="en-US" w:eastAsia="zh-CN"/>
        </w:rPr>
      </w:pPr>
      <w:bookmarkStart w:id="91" w:name="_Toc9284"/>
      <w:r>
        <w:rPr>
          <w:rFonts w:hint="eastAsia"/>
          <w:color w:val="auto"/>
          <w:lang w:val="en-US" w:eastAsia="zh-CN"/>
        </w:rPr>
        <w:t>8.1 存量建筑垃圾现状分析</w:t>
      </w:r>
      <w:bookmarkEnd w:id="91"/>
    </w:p>
    <w:p w14:paraId="3D778854">
      <w:pPr>
        <w:bidi w:val="0"/>
        <w:rPr>
          <w:rFonts w:hint="eastAsia"/>
          <w:color w:val="auto"/>
          <w:lang w:val="en-US" w:eastAsia="zh-CN"/>
        </w:rPr>
      </w:pPr>
      <w:r>
        <w:rPr>
          <w:rFonts w:hint="eastAsia"/>
          <w:color w:val="auto"/>
          <w:lang w:val="en-US" w:eastAsia="zh-CN"/>
        </w:rPr>
        <w:t>伴随着城市建设步伐不断加快，本溪市在建设发展过程中产生了大量建筑垃圾。由于缺乏统一完善的建筑垃圾管理及资源化利用办法和规范的处理手段，多数建筑垃圾采取扔弃、堆填等简单方式处理，不仅对生态造成了破坏，也产生了一定的安全隐患。</w:t>
      </w:r>
    </w:p>
    <w:p w14:paraId="1C3325AD">
      <w:pPr>
        <w:keepNext w:val="0"/>
        <w:keepLines w:val="0"/>
        <w:pageBreakBefore w:val="0"/>
        <w:widowControl/>
        <w:wordWrap/>
        <w:overflowPunct/>
        <w:topLinePunct w:val="0"/>
        <w:autoSpaceDN/>
        <w:bidi w:val="0"/>
        <w:rPr>
          <w:rFonts w:hint="eastAsia" w:cs="Times New Roman"/>
          <w:snapToGrid/>
          <w:color w:val="auto"/>
          <w:kern w:val="2"/>
          <w:sz w:val="28"/>
          <w:szCs w:val="22"/>
          <w:highlight w:val="none"/>
          <w:lang w:val="en-US" w:eastAsia="zh-CN" w:bidi="ar-SA"/>
        </w:rPr>
      </w:pPr>
      <w:r>
        <w:rPr>
          <w:rFonts w:hint="eastAsia"/>
          <w:color w:val="auto"/>
          <w:highlight w:val="none"/>
          <w:lang w:val="en-US" w:eastAsia="zh-CN"/>
        </w:rPr>
        <w:t>经过排查目前各区均有现存建筑垃圾点位，</w:t>
      </w:r>
      <w:r>
        <w:rPr>
          <w:rFonts w:hint="eastAsia" w:ascii="Times New Roman" w:eastAsia="宋体"/>
          <w:color w:val="auto"/>
          <w:highlight w:val="none"/>
          <w:lang w:val="en-US" w:eastAsia="zh-CN"/>
        </w:rPr>
        <w:t>具体点位情况详见下表：</w:t>
      </w:r>
    </w:p>
    <w:p w14:paraId="4E30911E">
      <w:pPr>
        <w:keepNext w:val="0"/>
        <w:keepLines w:val="0"/>
        <w:pageBreakBefore w:val="0"/>
        <w:widowControl/>
        <w:kinsoku w:val="0"/>
        <w:wordWrap/>
        <w:overflowPunct/>
        <w:topLinePunct w:val="0"/>
        <w:autoSpaceDE w:val="0"/>
        <w:autoSpaceDN/>
        <w:bidi w:val="0"/>
        <w:adjustRightInd w:val="0"/>
        <w:snapToGrid w:val="0"/>
        <w:spacing w:line="360" w:lineRule="auto"/>
        <w:ind w:firstLine="0" w:firstLineChars="0"/>
        <w:jc w:val="center"/>
        <w:textAlignment w:val="baseline"/>
        <w:rPr>
          <w:rFonts w:hint="eastAsia" w:ascii="Times New Roman" w:hAnsi="Times New Roman" w:eastAsia="宋体" w:cstheme="minorBidi"/>
          <w:b/>
          <w:bCs/>
          <w:snapToGrid w:val="0"/>
          <w:color w:val="auto"/>
          <w:kern w:val="2"/>
          <w:sz w:val="28"/>
          <w:szCs w:val="22"/>
          <w:highlight w:val="none"/>
          <w:lang w:val="en-US" w:eastAsia="zh-CN" w:bidi="ar-SA"/>
        </w:rPr>
      </w:pPr>
      <w:r>
        <w:rPr>
          <w:rFonts w:hint="eastAsia" w:ascii="Times New Roman" w:hAnsi="Times New Roman" w:eastAsia="宋体" w:cs="Arial"/>
          <w:b/>
          <w:bCs/>
          <w:snapToGrid w:val="0"/>
          <w:color w:val="auto"/>
          <w:kern w:val="0"/>
          <w:sz w:val="28"/>
          <w:szCs w:val="21"/>
          <w:highlight w:val="none"/>
          <w:lang w:val="en-US" w:eastAsia="zh-CN"/>
        </w:rPr>
        <w:t>表8.1-1 本溪市点位规模表</w:t>
      </w:r>
    </w:p>
    <w:tbl>
      <w:tblPr>
        <w:tblStyle w:val="17"/>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0"/>
        <w:gridCol w:w="4140"/>
        <w:gridCol w:w="4103"/>
        <w:gridCol w:w="1114"/>
      </w:tblGrid>
      <w:tr w14:paraId="0FB4B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80" w:hRule="atLeast"/>
          <w:tblHeader/>
          <w:jc w:val="center"/>
        </w:trPr>
        <w:tc>
          <w:tcPr>
            <w:tcW w:w="530" w:type="pct"/>
            <w:tcBorders>
              <w:top w:val="single" w:color="auto" w:sz="4" w:space="0"/>
              <w:left w:val="single" w:color="auto" w:sz="4" w:space="0"/>
              <w:bottom w:val="single" w:color="auto" w:sz="4" w:space="0"/>
              <w:right w:val="single" w:color="000000" w:sz="4" w:space="0"/>
            </w:tcBorders>
            <w:shd w:val="clear" w:color="auto" w:fill="auto"/>
            <w:vAlign w:val="center"/>
          </w:tcPr>
          <w:p w14:paraId="07C6C387">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b/>
                <w:bCs/>
                <w:snapToGrid/>
                <w:color w:val="auto"/>
                <w:kern w:val="2"/>
                <w:sz w:val="24"/>
                <w:szCs w:val="24"/>
                <w:highlight w:val="none"/>
                <w:lang w:val="en-US" w:eastAsia="zh-CN" w:bidi="ar-SA"/>
              </w:rPr>
            </w:pPr>
            <w:r>
              <w:rPr>
                <w:rFonts w:hint="default" w:cstheme="minorBidi"/>
                <w:b/>
                <w:bCs/>
                <w:snapToGrid/>
                <w:color w:val="auto"/>
                <w:kern w:val="2"/>
                <w:sz w:val="24"/>
                <w:szCs w:val="24"/>
                <w:highlight w:val="none"/>
                <w:lang w:val="en-US" w:eastAsia="zh-CN" w:bidi="ar-SA"/>
              </w:rPr>
              <w:t>序号</w:t>
            </w:r>
          </w:p>
        </w:tc>
        <w:tc>
          <w:tcPr>
            <w:tcW w:w="1977" w:type="pct"/>
            <w:tcBorders>
              <w:top w:val="single" w:color="auto" w:sz="4" w:space="0"/>
              <w:left w:val="single" w:color="000000" w:sz="4" w:space="0"/>
              <w:bottom w:val="single" w:color="auto" w:sz="4" w:space="0"/>
              <w:right w:val="single" w:color="000000" w:sz="4" w:space="0"/>
            </w:tcBorders>
            <w:shd w:val="clear" w:color="auto" w:fill="auto"/>
            <w:vAlign w:val="center"/>
          </w:tcPr>
          <w:p w14:paraId="22706B60">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b/>
                <w:bCs/>
                <w:snapToGrid/>
                <w:color w:val="auto"/>
                <w:kern w:val="2"/>
                <w:sz w:val="24"/>
                <w:szCs w:val="24"/>
                <w:highlight w:val="none"/>
                <w:lang w:val="en-US" w:eastAsia="zh-CN" w:bidi="ar-SA"/>
              </w:rPr>
            </w:pPr>
            <w:r>
              <w:rPr>
                <w:rFonts w:hint="default" w:cstheme="minorBidi"/>
                <w:b/>
                <w:bCs/>
                <w:snapToGrid/>
                <w:color w:val="auto"/>
                <w:kern w:val="2"/>
                <w:sz w:val="24"/>
                <w:szCs w:val="24"/>
                <w:highlight w:val="none"/>
                <w:lang w:val="en-US" w:eastAsia="zh-CN" w:bidi="ar-SA"/>
              </w:rPr>
              <w:t>地址</w:t>
            </w:r>
          </w:p>
        </w:tc>
        <w:tc>
          <w:tcPr>
            <w:tcW w:w="1959" w:type="pct"/>
            <w:tcBorders>
              <w:top w:val="single" w:color="auto" w:sz="4" w:space="0"/>
              <w:left w:val="single" w:color="000000" w:sz="4" w:space="0"/>
              <w:bottom w:val="single" w:color="auto" w:sz="4" w:space="0"/>
              <w:right w:val="single" w:color="000000" w:sz="4" w:space="0"/>
            </w:tcBorders>
            <w:shd w:val="clear" w:color="auto" w:fill="auto"/>
            <w:vAlign w:val="center"/>
          </w:tcPr>
          <w:p w14:paraId="262A03B8">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b/>
                <w:bCs/>
                <w:snapToGrid/>
                <w:color w:val="auto"/>
                <w:kern w:val="2"/>
                <w:sz w:val="24"/>
                <w:szCs w:val="24"/>
                <w:highlight w:val="none"/>
                <w:lang w:val="en-US" w:eastAsia="zh-CN" w:bidi="ar-SA"/>
              </w:rPr>
            </w:pPr>
            <w:r>
              <w:rPr>
                <w:rFonts w:hint="default" w:cstheme="minorBidi"/>
                <w:b/>
                <w:bCs/>
                <w:snapToGrid/>
                <w:color w:val="auto"/>
                <w:kern w:val="2"/>
                <w:sz w:val="24"/>
                <w:szCs w:val="24"/>
                <w:highlight w:val="none"/>
                <w:lang w:val="en-US" w:eastAsia="zh-CN" w:bidi="ar-SA"/>
              </w:rPr>
              <w:t>垃圾类型</w:t>
            </w:r>
          </w:p>
        </w:tc>
        <w:tc>
          <w:tcPr>
            <w:tcW w:w="532" w:type="pct"/>
            <w:tcBorders>
              <w:top w:val="single" w:color="auto" w:sz="4" w:space="0"/>
              <w:left w:val="single" w:color="000000" w:sz="4" w:space="0"/>
              <w:bottom w:val="single" w:color="auto" w:sz="4" w:space="0"/>
              <w:right w:val="single" w:color="auto" w:sz="4" w:space="0"/>
            </w:tcBorders>
            <w:shd w:val="clear" w:color="auto" w:fill="auto"/>
            <w:vAlign w:val="center"/>
          </w:tcPr>
          <w:p w14:paraId="1DFA46E3">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b/>
                <w:bCs/>
                <w:snapToGrid/>
                <w:color w:val="auto"/>
                <w:kern w:val="2"/>
                <w:sz w:val="24"/>
                <w:szCs w:val="24"/>
                <w:highlight w:val="none"/>
                <w:lang w:val="en-US" w:eastAsia="zh-CN" w:bidi="ar-SA"/>
              </w:rPr>
            </w:pPr>
            <w:r>
              <w:rPr>
                <w:rFonts w:hint="default" w:cstheme="minorBidi"/>
                <w:b/>
                <w:bCs/>
                <w:snapToGrid/>
                <w:color w:val="auto"/>
                <w:kern w:val="2"/>
                <w:sz w:val="24"/>
                <w:szCs w:val="24"/>
                <w:highlight w:val="none"/>
                <w:lang w:val="en-US" w:eastAsia="zh-CN" w:bidi="ar-SA"/>
              </w:rPr>
              <w:t>备注</w:t>
            </w:r>
          </w:p>
        </w:tc>
      </w:tr>
      <w:tr w14:paraId="2BE0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530" w:type="pct"/>
            <w:tcBorders>
              <w:top w:val="single" w:color="auto" w:sz="4" w:space="0"/>
              <w:left w:val="single" w:color="000000" w:sz="4" w:space="0"/>
              <w:bottom w:val="single" w:color="000000" w:sz="4" w:space="0"/>
              <w:right w:val="single" w:color="000000" w:sz="4" w:space="0"/>
            </w:tcBorders>
            <w:shd w:val="clear" w:color="auto" w:fill="auto"/>
            <w:vAlign w:val="center"/>
          </w:tcPr>
          <w:p w14:paraId="2B8DD0EC">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default" w:cstheme="minorBidi"/>
                <w:snapToGrid/>
                <w:color w:val="auto"/>
                <w:kern w:val="2"/>
                <w:sz w:val="24"/>
                <w:szCs w:val="24"/>
                <w:highlight w:val="none"/>
                <w:lang w:val="en-US" w:eastAsia="zh-CN" w:bidi="ar-SA"/>
              </w:rPr>
              <w:t>1</w:t>
            </w:r>
          </w:p>
        </w:tc>
        <w:tc>
          <w:tcPr>
            <w:tcW w:w="1977" w:type="pct"/>
            <w:tcBorders>
              <w:top w:val="single" w:color="auto" w:sz="4" w:space="0"/>
              <w:left w:val="single" w:color="000000" w:sz="4" w:space="0"/>
              <w:bottom w:val="single" w:color="000000" w:sz="4" w:space="0"/>
              <w:right w:val="single" w:color="000000" w:sz="4" w:space="0"/>
            </w:tcBorders>
            <w:shd w:val="clear" w:color="auto" w:fill="auto"/>
            <w:vAlign w:val="center"/>
          </w:tcPr>
          <w:p w14:paraId="7CBAAA1A">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溪湖区林家污水厂</w:t>
            </w:r>
          </w:p>
        </w:tc>
        <w:tc>
          <w:tcPr>
            <w:tcW w:w="1959" w:type="pct"/>
            <w:tcBorders>
              <w:top w:val="single" w:color="auto" w:sz="4" w:space="0"/>
              <w:left w:val="single" w:color="000000" w:sz="4" w:space="0"/>
              <w:bottom w:val="single" w:color="000000" w:sz="4" w:space="0"/>
              <w:right w:val="single" w:color="000000" w:sz="4" w:space="0"/>
            </w:tcBorders>
            <w:shd w:val="clear" w:color="auto" w:fill="auto"/>
            <w:vAlign w:val="center"/>
          </w:tcPr>
          <w:p w14:paraId="0BB0DE41">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渣土为主，少量建筑垃圾</w:t>
            </w:r>
          </w:p>
        </w:tc>
        <w:tc>
          <w:tcPr>
            <w:tcW w:w="532" w:type="pct"/>
            <w:tcBorders>
              <w:top w:val="single" w:color="auto" w:sz="4" w:space="0"/>
              <w:left w:val="single" w:color="000000" w:sz="4" w:space="0"/>
              <w:bottom w:val="single" w:color="000000" w:sz="4" w:space="0"/>
              <w:right w:val="single" w:color="000000" w:sz="4" w:space="0"/>
            </w:tcBorders>
            <w:shd w:val="clear" w:color="auto" w:fill="auto"/>
            <w:vAlign w:val="center"/>
          </w:tcPr>
          <w:p w14:paraId="3795667D">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p>
        </w:tc>
      </w:tr>
      <w:tr w14:paraId="45F0D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530" w:type="pct"/>
            <w:tcBorders>
              <w:top w:val="single" w:color="auto" w:sz="4" w:space="0"/>
              <w:left w:val="single" w:color="000000" w:sz="4" w:space="0"/>
              <w:bottom w:val="single" w:color="000000" w:sz="4" w:space="0"/>
              <w:right w:val="single" w:color="000000" w:sz="4" w:space="0"/>
            </w:tcBorders>
            <w:shd w:val="clear" w:color="auto" w:fill="auto"/>
            <w:vAlign w:val="center"/>
          </w:tcPr>
          <w:p w14:paraId="0AE782D3">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2</w:t>
            </w:r>
          </w:p>
        </w:tc>
        <w:tc>
          <w:tcPr>
            <w:tcW w:w="1977" w:type="pct"/>
            <w:tcBorders>
              <w:top w:val="single" w:color="auto" w:sz="4" w:space="0"/>
              <w:left w:val="single" w:color="000000" w:sz="4" w:space="0"/>
              <w:bottom w:val="single" w:color="000000" w:sz="4" w:space="0"/>
              <w:right w:val="single" w:color="000000" w:sz="4" w:space="0"/>
            </w:tcBorders>
            <w:shd w:val="clear" w:color="auto" w:fill="auto"/>
            <w:vAlign w:val="center"/>
          </w:tcPr>
          <w:p w14:paraId="402839DC">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溪湖区彩北牛毛岭</w:t>
            </w:r>
          </w:p>
        </w:tc>
        <w:tc>
          <w:tcPr>
            <w:tcW w:w="1959" w:type="pct"/>
            <w:tcBorders>
              <w:top w:val="single" w:color="auto" w:sz="4" w:space="0"/>
              <w:left w:val="single" w:color="000000" w:sz="4" w:space="0"/>
              <w:bottom w:val="single" w:color="000000" w:sz="4" w:space="0"/>
              <w:right w:val="single" w:color="000000" w:sz="4" w:space="0"/>
            </w:tcBorders>
            <w:shd w:val="clear" w:color="auto" w:fill="auto"/>
            <w:vAlign w:val="center"/>
          </w:tcPr>
          <w:p w14:paraId="0115A6CE">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渣土为主</w:t>
            </w:r>
          </w:p>
        </w:tc>
        <w:tc>
          <w:tcPr>
            <w:tcW w:w="532" w:type="pct"/>
            <w:tcBorders>
              <w:top w:val="single" w:color="auto" w:sz="4" w:space="0"/>
              <w:left w:val="single" w:color="000000" w:sz="4" w:space="0"/>
              <w:bottom w:val="single" w:color="000000" w:sz="4" w:space="0"/>
              <w:right w:val="single" w:color="000000" w:sz="4" w:space="0"/>
            </w:tcBorders>
            <w:shd w:val="clear" w:color="auto" w:fill="auto"/>
            <w:vAlign w:val="center"/>
          </w:tcPr>
          <w:p w14:paraId="53DE87FC">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p>
        </w:tc>
      </w:tr>
      <w:tr w14:paraId="46A4B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530" w:type="pct"/>
            <w:tcBorders>
              <w:top w:val="single" w:color="auto" w:sz="4" w:space="0"/>
              <w:left w:val="single" w:color="000000" w:sz="4" w:space="0"/>
              <w:bottom w:val="single" w:color="000000" w:sz="4" w:space="0"/>
              <w:right w:val="single" w:color="000000" w:sz="4" w:space="0"/>
            </w:tcBorders>
            <w:shd w:val="clear" w:color="auto" w:fill="auto"/>
            <w:vAlign w:val="center"/>
          </w:tcPr>
          <w:p w14:paraId="116D6452">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3</w:t>
            </w:r>
          </w:p>
        </w:tc>
        <w:tc>
          <w:tcPr>
            <w:tcW w:w="1977" w:type="pct"/>
            <w:tcBorders>
              <w:top w:val="single" w:color="auto" w:sz="4" w:space="0"/>
              <w:left w:val="single" w:color="000000" w:sz="4" w:space="0"/>
              <w:bottom w:val="single" w:color="000000" w:sz="4" w:space="0"/>
              <w:right w:val="single" w:color="000000" w:sz="4" w:space="0"/>
            </w:tcBorders>
            <w:shd w:val="clear" w:color="auto" w:fill="auto"/>
            <w:vAlign w:val="center"/>
          </w:tcPr>
          <w:p w14:paraId="2C531BC6">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明山区沈环线盛隆超市</w:t>
            </w:r>
          </w:p>
        </w:tc>
        <w:tc>
          <w:tcPr>
            <w:tcW w:w="1959" w:type="pct"/>
            <w:tcBorders>
              <w:top w:val="single" w:color="auto" w:sz="4" w:space="0"/>
              <w:left w:val="single" w:color="000000" w:sz="4" w:space="0"/>
              <w:bottom w:val="single" w:color="000000" w:sz="4" w:space="0"/>
              <w:right w:val="single" w:color="000000" w:sz="4" w:space="0"/>
            </w:tcBorders>
            <w:shd w:val="clear" w:color="auto" w:fill="auto"/>
            <w:vAlign w:val="center"/>
          </w:tcPr>
          <w:p w14:paraId="0306960B">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拆除垃圾</w:t>
            </w:r>
          </w:p>
        </w:tc>
        <w:tc>
          <w:tcPr>
            <w:tcW w:w="532" w:type="pct"/>
            <w:tcBorders>
              <w:top w:val="single" w:color="auto" w:sz="4" w:space="0"/>
              <w:left w:val="single" w:color="000000" w:sz="4" w:space="0"/>
              <w:bottom w:val="single" w:color="000000" w:sz="4" w:space="0"/>
              <w:right w:val="single" w:color="000000" w:sz="4" w:space="0"/>
            </w:tcBorders>
            <w:shd w:val="clear" w:color="auto" w:fill="auto"/>
            <w:vAlign w:val="center"/>
          </w:tcPr>
          <w:p w14:paraId="79C35F93">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p>
        </w:tc>
      </w:tr>
      <w:tr w14:paraId="455E6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06053">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4</w:t>
            </w:r>
          </w:p>
        </w:tc>
        <w:tc>
          <w:tcPr>
            <w:tcW w:w="1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F739F">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明山区水岸新都</w:t>
            </w:r>
          </w:p>
        </w:tc>
        <w:tc>
          <w:tcPr>
            <w:tcW w:w="1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67965">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渣土为主，少量建筑垃圾</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0DB73">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p>
        </w:tc>
      </w:tr>
      <w:tr w14:paraId="7BCFF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FD040">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5</w:t>
            </w:r>
          </w:p>
        </w:tc>
        <w:tc>
          <w:tcPr>
            <w:tcW w:w="1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DDD19">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明山区太子城别墅区东侧</w:t>
            </w:r>
          </w:p>
        </w:tc>
        <w:tc>
          <w:tcPr>
            <w:tcW w:w="1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0ED43">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拆除垃圾</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6906D">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p>
        </w:tc>
      </w:tr>
      <w:tr w14:paraId="2D92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C43B7">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6</w:t>
            </w:r>
          </w:p>
        </w:tc>
        <w:tc>
          <w:tcPr>
            <w:tcW w:w="1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3F01D">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平山区千金岭街道兴安村</w:t>
            </w:r>
          </w:p>
        </w:tc>
        <w:tc>
          <w:tcPr>
            <w:tcW w:w="1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87202">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装修垃圾</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8FB9">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p>
        </w:tc>
      </w:tr>
      <w:tr w14:paraId="397A2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5EDD">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7</w:t>
            </w:r>
          </w:p>
        </w:tc>
        <w:tc>
          <w:tcPr>
            <w:tcW w:w="1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0AAB">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南芬区赵家文化路路口</w:t>
            </w:r>
          </w:p>
        </w:tc>
        <w:tc>
          <w:tcPr>
            <w:tcW w:w="1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F3BE">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cstheme="minorBidi"/>
                <w:snapToGrid/>
                <w:color w:val="auto"/>
                <w:kern w:val="2"/>
                <w:sz w:val="24"/>
                <w:szCs w:val="24"/>
                <w:highlight w:val="none"/>
                <w:lang w:val="en-US" w:eastAsia="zh-CN" w:bidi="ar-SA"/>
              </w:rPr>
            </w:pPr>
            <w:r>
              <w:rPr>
                <w:rFonts w:hint="eastAsia" w:cstheme="minorBidi"/>
                <w:snapToGrid/>
                <w:color w:val="auto"/>
                <w:kern w:val="2"/>
                <w:sz w:val="24"/>
                <w:szCs w:val="24"/>
                <w:highlight w:val="none"/>
                <w:lang w:val="en-US" w:eastAsia="zh-CN" w:bidi="ar-SA"/>
              </w:rPr>
              <w:t>渣土为主，少量建筑垃圾</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9A800">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default" w:cstheme="minorBidi"/>
                <w:snapToGrid/>
                <w:color w:val="auto"/>
                <w:kern w:val="2"/>
                <w:sz w:val="24"/>
                <w:szCs w:val="24"/>
                <w:highlight w:val="none"/>
                <w:lang w:val="en-US" w:eastAsia="zh-CN" w:bidi="ar-SA"/>
              </w:rPr>
            </w:pPr>
          </w:p>
        </w:tc>
      </w:tr>
    </w:tbl>
    <w:p w14:paraId="6C3C26AB">
      <w:pPr>
        <w:pStyle w:val="23"/>
        <w:rPr>
          <w:rFonts w:hint="default"/>
          <w:color w:val="auto"/>
          <w:lang w:val="en-US" w:eastAsia="zh-CN"/>
        </w:rPr>
      </w:pPr>
    </w:p>
    <w:p w14:paraId="10349B1B">
      <w:pPr>
        <w:pStyle w:val="3"/>
        <w:bidi w:val="0"/>
        <w:rPr>
          <w:rFonts w:hint="eastAsia"/>
          <w:color w:val="auto"/>
          <w:lang w:val="en-US" w:eastAsia="zh-CN"/>
        </w:rPr>
      </w:pPr>
      <w:bookmarkStart w:id="92" w:name="_Toc6230"/>
      <w:r>
        <w:rPr>
          <w:rFonts w:hint="eastAsia"/>
          <w:color w:val="auto"/>
          <w:lang w:val="en-US" w:eastAsia="zh-CN"/>
        </w:rPr>
        <w:t>8.2 存量治理工作机制</w:t>
      </w:r>
      <w:bookmarkEnd w:id="92"/>
    </w:p>
    <w:p w14:paraId="069638CB">
      <w:pPr>
        <w:pStyle w:val="4"/>
        <w:bidi w:val="0"/>
        <w:rPr>
          <w:rFonts w:hint="eastAsia"/>
          <w:color w:val="auto"/>
          <w:lang w:val="en-US" w:eastAsia="zh-CN"/>
        </w:rPr>
      </w:pPr>
      <w:bookmarkStart w:id="93" w:name="_Toc16700"/>
      <w:r>
        <w:rPr>
          <w:rFonts w:hint="eastAsia"/>
          <w:color w:val="auto"/>
          <w:lang w:val="en-US" w:eastAsia="zh-CN"/>
        </w:rPr>
        <w:t>8.2.1 强化管理闭环</w:t>
      </w:r>
      <w:bookmarkEnd w:id="93"/>
    </w:p>
    <w:p w14:paraId="7F322FF8">
      <w:pPr>
        <w:bidi w:val="0"/>
        <w:ind w:left="0" w:leftChars="0" w:firstLine="560" w:firstLineChars="200"/>
        <w:rPr>
          <w:rFonts w:hint="eastAsia"/>
          <w:color w:val="auto"/>
          <w:lang w:val="en-US" w:eastAsia="zh-CN"/>
        </w:rPr>
      </w:pPr>
      <w:r>
        <w:rPr>
          <w:rFonts w:hint="eastAsia"/>
          <w:color w:val="auto"/>
          <w:lang w:val="en-US" w:eastAsia="zh-CN"/>
        </w:rPr>
        <w:t>聚焦摸底排查、治理和长效监管等关键环节。深入细致开展摸底排查，对存量建筑垃圾产生环境污染的追根溯源，根据排查结果，充分考虑实际情况，确保治理措施既有效又可持续；同时，还需加强组织领导和协调配合，形成多方联动、齐抓共管的良好局面，确保治理工作能够高效推进；加强日常巡查和监督检查，确保存量问题得到及时有效处理；同时，还应建立问题反馈和整改机制，对发现的问题进行及时记录和跟踪处理，确保问题能够得到彻底解决；此外，还应完善相关法规制度和政策措施，为存量治理工作提供有力的法律保障和政策支持。</w:t>
      </w:r>
    </w:p>
    <w:p w14:paraId="6079B985">
      <w:pPr>
        <w:pStyle w:val="4"/>
        <w:bidi w:val="0"/>
        <w:rPr>
          <w:rFonts w:hint="default"/>
          <w:color w:val="auto"/>
          <w:lang w:val="en-US" w:eastAsia="zh-CN"/>
        </w:rPr>
      </w:pPr>
      <w:bookmarkStart w:id="94" w:name="_Toc14056"/>
      <w:r>
        <w:rPr>
          <w:rFonts w:hint="default"/>
          <w:color w:val="auto"/>
          <w:lang w:val="en-US" w:eastAsia="zh-CN"/>
        </w:rPr>
        <w:t>8.2.2 健全执法监督</w:t>
      </w:r>
      <w:bookmarkEnd w:id="94"/>
    </w:p>
    <w:p w14:paraId="6E9649B1">
      <w:pPr>
        <w:bidi w:val="0"/>
        <w:rPr>
          <w:rFonts w:hint="eastAsia"/>
          <w:color w:val="auto"/>
          <w:lang w:val="en-US" w:eastAsia="zh-CN"/>
        </w:rPr>
      </w:pPr>
      <w:r>
        <w:rPr>
          <w:rFonts w:hint="default"/>
          <w:color w:val="auto"/>
          <w:lang w:val="en-US" w:eastAsia="zh-CN"/>
        </w:rPr>
        <w:t>按照</w:t>
      </w:r>
      <w:r>
        <w:rPr>
          <w:rFonts w:hint="eastAsia"/>
          <w:color w:val="auto"/>
          <w:lang w:val="en-US" w:eastAsia="zh-CN"/>
        </w:rPr>
        <w:t>“</w:t>
      </w:r>
      <w:r>
        <w:rPr>
          <w:rFonts w:hint="default"/>
          <w:color w:val="auto"/>
          <w:lang w:val="en-US" w:eastAsia="zh-CN"/>
        </w:rPr>
        <w:t>零容忍、严惩处、溯源头</w:t>
      </w:r>
      <w:r>
        <w:rPr>
          <w:rFonts w:hint="eastAsia"/>
          <w:color w:val="auto"/>
          <w:lang w:val="en-US" w:eastAsia="zh-CN"/>
        </w:rPr>
        <w:t>”</w:t>
      </w:r>
      <w:r>
        <w:rPr>
          <w:rFonts w:hint="default"/>
          <w:color w:val="auto"/>
          <w:lang w:val="en-US" w:eastAsia="zh-CN"/>
        </w:rPr>
        <w:t>的原则，对于违反建筑垃圾管理规定的单位和个人，应依法给予罚款、吊销许可证等处罚。执法部门需要加大对建筑垃圾存量的监管力度，借助</w:t>
      </w:r>
      <w:r>
        <w:rPr>
          <w:rFonts w:hint="eastAsia"/>
          <w:color w:val="auto"/>
          <w:lang w:val="en-US" w:eastAsia="zh-CN"/>
        </w:rPr>
        <w:t>“</w:t>
      </w:r>
      <w:r>
        <w:rPr>
          <w:rFonts w:hint="default"/>
          <w:color w:val="auto"/>
          <w:lang w:val="en-US" w:eastAsia="zh-CN"/>
        </w:rPr>
        <w:t>大综合一体化</w:t>
      </w:r>
      <w:r>
        <w:rPr>
          <w:rFonts w:hint="eastAsia"/>
          <w:color w:val="auto"/>
          <w:lang w:val="en-US" w:eastAsia="zh-CN"/>
        </w:rPr>
        <w:t>”</w:t>
      </w:r>
      <w:r>
        <w:rPr>
          <w:rFonts w:hint="default"/>
          <w:color w:val="auto"/>
          <w:lang w:val="en-US" w:eastAsia="zh-CN"/>
        </w:rPr>
        <w:t>行政执法改革的机制优势，加大联合执法力度，确保各项规定得到有效执行。建立健全跨部门协作机制，实现信息共享和资源整合，共同监管建筑垃圾的排放和运输</w:t>
      </w:r>
      <w:r>
        <w:rPr>
          <w:rFonts w:hint="eastAsia"/>
          <w:color w:val="auto"/>
          <w:lang w:val="en-US" w:eastAsia="zh-CN"/>
        </w:rPr>
        <w:t>。</w:t>
      </w:r>
    </w:p>
    <w:p w14:paraId="5B8151C4">
      <w:pPr>
        <w:pStyle w:val="4"/>
        <w:bidi w:val="0"/>
        <w:rPr>
          <w:rFonts w:hint="eastAsia"/>
          <w:color w:val="auto"/>
          <w:lang w:val="en-US" w:eastAsia="zh-CN"/>
        </w:rPr>
      </w:pPr>
      <w:bookmarkStart w:id="95" w:name="_Toc17856"/>
      <w:r>
        <w:rPr>
          <w:rFonts w:hint="eastAsia"/>
          <w:color w:val="auto"/>
          <w:lang w:val="en-US" w:eastAsia="zh-CN"/>
        </w:rPr>
        <w:t>8.2.3 加强宣传引导</w:t>
      </w:r>
      <w:bookmarkEnd w:id="95"/>
    </w:p>
    <w:p w14:paraId="3B9EDB3A">
      <w:pPr>
        <w:bidi w:val="0"/>
        <w:rPr>
          <w:rFonts w:hint="eastAsia"/>
          <w:color w:val="auto"/>
          <w:lang w:val="en-US" w:eastAsia="zh-CN"/>
        </w:rPr>
      </w:pPr>
      <w:r>
        <w:rPr>
          <w:rFonts w:hint="default"/>
          <w:color w:val="auto"/>
          <w:lang w:val="en-US" w:eastAsia="zh-CN"/>
        </w:rPr>
        <w:t>鼓励公众参与建筑垃圾存量治理的监督，通过媒体宣传增强公众环保意识和资源节约意识。</w:t>
      </w:r>
      <w:r>
        <w:rPr>
          <w:rFonts w:hint="eastAsia"/>
          <w:color w:val="auto"/>
          <w:lang w:val="en-US" w:eastAsia="zh-CN"/>
        </w:rPr>
        <w:t>建筑垃圾主管部门</w:t>
      </w:r>
      <w:r>
        <w:rPr>
          <w:rFonts w:hint="default"/>
          <w:color w:val="auto"/>
          <w:lang w:val="en-US" w:eastAsia="zh-CN"/>
        </w:rPr>
        <w:t>加大宣传力度，要充分发挥舆论导向和媒体监督作用，通过广播、电视、报刊、网络等媒体和公益广告，广泛宣传建筑垃圾综合利用的重要性，普及建筑垃圾综合利用基础知识，增强公众的资源节约意识、环保意识，提高公众参与建筑垃圾综合利用工作的自觉性和积极性，营造全社会理解和支持建筑垃圾综合利用的良好氛围</w:t>
      </w:r>
      <w:r>
        <w:rPr>
          <w:rFonts w:hint="eastAsia"/>
          <w:color w:val="auto"/>
          <w:lang w:val="en-US" w:eastAsia="zh-CN"/>
        </w:rPr>
        <w:t>。</w:t>
      </w:r>
    </w:p>
    <w:p w14:paraId="5D456C0D">
      <w:pPr>
        <w:pStyle w:val="4"/>
        <w:bidi w:val="0"/>
        <w:rPr>
          <w:rFonts w:hint="default"/>
          <w:color w:val="auto"/>
          <w:lang w:val="en-US" w:eastAsia="zh-CN"/>
        </w:rPr>
      </w:pPr>
      <w:bookmarkStart w:id="96" w:name="_Toc18126"/>
      <w:r>
        <w:rPr>
          <w:rFonts w:hint="default"/>
          <w:color w:val="auto"/>
          <w:lang w:val="en-US" w:eastAsia="zh-CN"/>
        </w:rPr>
        <w:t>8.2.4 推进数字智治</w:t>
      </w:r>
      <w:bookmarkEnd w:id="96"/>
    </w:p>
    <w:p w14:paraId="36246691">
      <w:pPr>
        <w:bidi w:val="0"/>
        <w:rPr>
          <w:rFonts w:hint="eastAsia"/>
          <w:color w:val="auto"/>
          <w:lang w:val="en-US" w:eastAsia="zh-CN"/>
        </w:rPr>
      </w:pPr>
      <w:r>
        <w:rPr>
          <w:rFonts w:hint="default"/>
          <w:color w:val="auto"/>
          <w:lang w:val="en-US" w:eastAsia="zh-CN"/>
        </w:rPr>
        <w:t>加快</w:t>
      </w:r>
      <w:r>
        <w:rPr>
          <w:rFonts w:hint="eastAsia"/>
          <w:color w:val="auto"/>
          <w:lang w:val="en-US" w:eastAsia="zh-CN"/>
        </w:rPr>
        <w:t>建筑垃圾全过程信息化监管平台</w:t>
      </w:r>
      <w:r>
        <w:rPr>
          <w:rFonts w:hint="default"/>
          <w:color w:val="auto"/>
          <w:lang w:val="en-US" w:eastAsia="zh-CN"/>
        </w:rPr>
        <w:t>的推广应用，通过数字治理平台实现垃圾处理的智能化与数字化管理，包括全周期介入监管、数智化平台结合运输车辆的车载智能终端等，有效防止建筑垃圾随意处置、非法倾倒等现象，加快实现工程渣土由</w:t>
      </w:r>
      <w:r>
        <w:rPr>
          <w:rFonts w:hint="eastAsia"/>
          <w:color w:val="auto"/>
          <w:lang w:val="en-US" w:eastAsia="zh-CN"/>
        </w:rPr>
        <w:t>“</w:t>
      </w:r>
      <w:r>
        <w:rPr>
          <w:rFonts w:hint="default"/>
          <w:color w:val="auto"/>
          <w:lang w:val="en-US" w:eastAsia="zh-CN"/>
        </w:rPr>
        <w:t>人防</w:t>
      </w:r>
      <w:r>
        <w:rPr>
          <w:rFonts w:hint="eastAsia"/>
          <w:color w:val="auto"/>
          <w:lang w:val="en-US" w:eastAsia="zh-CN"/>
        </w:rPr>
        <w:t>”</w:t>
      </w:r>
      <w:r>
        <w:rPr>
          <w:rFonts w:hint="default"/>
          <w:color w:val="auto"/>
          <w:lang w:val="en-US" w:eastAsia="zh-CN"/>
        </w:rPr>
        <w:t>向</w:t>
      </w:r>
      <w:r>
        <w:rPr>
          <w:rFonts w:hint="eastAsia"/>
          <w:color w:val="auto"/>
          <w:lang w:val="en-US" w:eastAsia="zh-CN"/>
        </w:rPr>
        <w:t>“</w:t>
      </w:r>
      <w:r>
        <w:rPr>
          <w:rFonts w:hint="default"/>
          <w:color w:val="auto"/>
          <w:lang w:val="en-US" w:eastAsia="zh-CN"/>
        </w:rPr>
        <w:t>技防</w:t>
      </w:r>
      <w:r>
        <w:rPr>
          <w:rFonts w:hint="eastAsia"/>
          <w:color w:val="auto"/>
          <w:lang w:val="en-US" w:eastAsia="zh-CN"/>
        </w:rPr>
        <w:t>”</w:t>
      </w:r>
      <w:r>
        <w:rPr>
          <w:rFonts w:hint="default"/>
          <w:color w:val="auto"/>
          <w:lang w:val="en-US" w:eastAsia="zh-CN"/>
        </w:rPr>
        <w:t>的监管方式转变。提升建筑垃圾治理常态化管控和精细化管理水平</w:t>
      </w:r>
      <w:r>
        <w:rPr>
          <w:rFonts w:hint="eastAsia"/>
          <w:color w:val="auto"/>
          <w:lang w:val="en-US" w:eastAsia="zh-CN"/>
        </w:rPr>
        <w:t>。</w:t>
      </w:r>
    </w:p>
    <w:p w14:paraId="565C545C">
      <w:pPr>
        <w:pStyle w:val="3"/>
        <w:bidi w:val="0"/>
        <w:rPr>
          <w:rFonts w:hint="eastAsia"/>
          <w:color w:val="auto"/>
          <w:lang w:val="en-US" w:eastAsia="zh-CN"/>
        </w:rPr>
      </w:pPr>
      <w:bookmarkStart w:id="97" w:name="_Toc846"/>
      <w:r>
        <w:rPr>
          <w:rFonts w:hint="eastAsia"/>
          <w:color w:val="auto"/>
          <w:lang w:val="en-US" w:eastAsia="zh-CN"/>
        </w:rPr>
        <w:t>8.3 存量建筑垃圾治理计划</w:t>
      </w:r>
      <w:bookmarkEnd w:id="97"/>
    </w:p>
    <w:p w14:paraId="3E957059">
      <w:pPr>
        <w:bidi w:val="0"/>
        <w:rPr>
          <w:rFonts w:hint="default"/>
          <w:color w:val="auto"/>
          <w:lang w:val="en-US" w:eastAsia="zh-CN"/>
        </w:rPr>
      </w:pPr>
      <w:r>
        <w:rPr>
          <w:rFonts w:hint="default"/>
          <w:color w:val="auto"/>
          <w:lang w:val="en-US" w:eastAsia="zh-CN"/>
        </w:rPr>
        <w:t>针对</w:t>
      </w:r>
      <w:r>
        <w:rPr>
          <w:rFonts w:hint="eastAsia"/>
          <w:color w:val="auto"/>
          <w:lang w:val="en-US" w:eastAsia="zh-CN"/>
        </w:rPr>
        <w:t>本溪市</w:t>
      </w:r>
      <w:r>
        <w:rPr>
          <w:rFonts w:hint="default"/>
          <w:color w:val="auto"/>
          <w:lang w:val="en-US" w:eastAsia="zh-CN"/>
        </w:rPr>
        <w:t>存在的存量建筑垃圾堆放过程中带来的环境及安全隐患。治理工作首先要全面梳理排查存量建筑垃圾堆放情况，建立建筑垃圾堆放场所常态化监测机制，切实消除安全隐患。对现有消纳场所的存量建筑垃圾制定减量计划，安全转移至建筑垃圾资源化利用企业进行处理或用于其他资源化利用</w:t>
      </w:r>
      <w:r>
        <w:rPr>
          <w:rFonts w:hint="eastAsia"/>
          <w:color w:val="auto"/>
          <w:lang w:val="en-US" w:eastAsia="zh-CN"/>
        </w:rPr>
        <w:t>，</w:t>
      </w:r>
      <w:r>
        <w:rPr>
          <w:rFonts w:hint="default"/>
          <w:color w:val="auto"/>
          <w:lang w:val="en-US" w:eastAsia="zh-CN"/>
        </w:rPr>
        <w:t>对清理后尚剩余建筑垃圾残渣的堆放场地，要及时实施生态修复。</w:t>
      </w:r>
    </w:p>
    <w:p w14:paraId="2C67CE6C">
      <w:pPr>
        <w:pStyle w:val="3"/>
        <w:bidi w:val="0"/>
        <w:rPr>
          <w:rFonts w:hint="eastAsia"/>
          <w:color w:val="auto"/>
          <w:lang w:val="en-US" w:eastAsia="zh-CN"/>
        </w:rPr>
      </w:pPr>
      <w:bookmarkStart w:id="98" w:name="_Toc30082"/>
      <w:r>
        <w:rPr>
          <w:rFonts w:hint="eastAsia"/>
          <w:color w:val="auto"/>
          <w:lang w:val="en-US" w:eastAsia="zh-CN"/>
        </w:rPr>
        <w:t>8.4 存量治理要求</w:t>
      </w:r>
      <w:bookmarkEnd w:id="98"/>
    </w:p>
    <w:p w14:paraId="64E93EEA">
      <w:pPr>
        <w:bidi w:val="0"/>
        <w:rPr>
          <w:rFonts w:hint="default"/>
          <w:color w:val="auto"/>
          <w:lang w:val="en-US" w:eastAsia="zh-CN"/>
        </w:rPr>
      </w:pPr>
      <w:r>
        <w:rPr>
          <w:rFonts w:hint="default"/>
          <w:color w:val="auto"/>
          <w:lang w:val="en-US" w:eastAsia="zh-CN"/>
        </w:rPr>
        <w:t>存量治理要结合地区实际，通过</w:t>
      </w:r>
      <w:r>
        <w:rPr>
          <w:rFonts w:hint="eastAsia"/>
          <w:color w:val="auto"/>
          <w:lang w:val="en-US" w:eastAsia="zh-CN"/>
        </w:rPr>
        <w:t>“</w:t>
      </w:r>
      <w:r>
        <w:rPr>
          <w:rFonts w:hint="default"/>
          <w:color w:val="auto"/>
          <w:lang w:val="en-US" w:eastAsia="zh-CN"/>
        </w:rPr>
        <w:t>清存量、控增量</w:t>
      </w:r>
      <w:r>
        <w:rPr>
          <w:rFonts w:hint="eastAsia"/>
          <w:color w:val="auto"/>
          <w:lang w:val="en-US" w:eastAsia="zh-CN"/>
        </w:rPr>
        <w:t>”</w:t>
      </w:r>
      <w:r>
        <w:rPr>
          <w:rFonts w:hint="default"/>
          <w:color w:val="auto"/>
          <w:lang w:val="en-US" w:eastAsia="zh-CN"/>
        </w:rPr>
        <w:t>双管齐下，对市内存量建筑垃圾进行全面清理和规范管理，加强宣传教育和建立长效机制</w:t>
      </w:r>
      <w:r>
        <w:rPr>
          <w:rFonts w:hint="eastAsia"/>
          <w:color w:val="auto"/>
          <w:lang w:val="en-US" w:eastAsia="zh-CN"/>
        </w:rPr>
        <w:t>：</w:t>
      </w:r>
    </w:p>
    <w:p w14:paraId="4D935DD3">
      <w:pPr>
        <w:bidi w:val="0"/>
        <w:rPr>
          <w:rFonts w:hint="default"/>
          <w:color w:val="auto"/>
          <w:lang w:val="en-US" w:eastAsia="zh-CN"/>
        </w:rPr>
      </w:pPr>
      <w:r>
        <w:rPr>
          <w:rFonts w:hint="eastAsia"/>
          <w:color w:val="auto"/>
          <w:lang w:val="en-US" w:eastAsia="zh-CN"/>
        </w:rPr>
        <w:t>（1）</w:t>
      </w:r>
      <w:r>
        <w:rPr>
          <w:rFonts w:hint="default"/>
          <w:color w:val="auto"/>
          <w:lang w:val="en-US" w:eastAsia="zh-CN"/>
        </w:rPr>
        <w:t>加快对重点区域存量建筑垃圾摸排，采用网格划片实地排查、卫星遥感等方式，对每处存量垃圾场进行编号登记入账，摸排工作结束后，形成存量建筑垃圾排查报告</w:t>
      </w:r>
      <w:r>
        <w:rPr>
          <w:rFonts w:hint="eastAsia"/>
          <w:color w:val="auto"/>
          <w:lang w:val="en-US" w:eastAsia="zh-CN"/>
        </w:rPr>
        <w:t>；</w:t>
      </w:r>
    </w:p>
    <w:p w14:paraId="1205A6BE">
      <w:pPr>
        <w:bidi w:val="0"/>
        <w:rPr>
          <w:rFonts w:hint="eastAsia"/>
          <w:color w:val="auto"/>
          <w:lang w:val="en-US" w:eastAsia="zh-CN"/>
        </w:rPr>
      </w:pPr>
      <w:r>
        <w:rPr>
          <w:rFonts w:hint="eastAsia"/>
          <w:color w:val="auto"/>
          <w:lang w:val="en-US" w:eastAsia="zh-CN"/>
        </w:rPr>
        <w:t>（2）</w:t>
      </w:r>
      <w:r>
        <w:rPr>
          <w:rFonts w:hint="default"/>
          <w:color w:val="auto"/>
          <w:lang w:val="en-US" w:eastAsia="zh-CN"/>
        </w:rPr>
        <w:t>根据普查结果，结合发展需求等因素综合考虑，</w:t>
      </w:r>
      <w:r>
        <w:rPr>
          <w:rFonts w:hint="eastAsia"/>
          <w:color w:val="auto"/>
          <w:lang w:val="en-US" w:eastAsia="zh-CN"/>
        </w:rPr>
        <w:t>“</w:t>
      </w:r>
      <w:r>
        <w:rPr>
          <w:rFonts w:hint="default"/>
          <w:color w:val="auto"/>
          <w:lang w:val="en-US" w:eastAsia="zh-CN"/>
        </w:rPr>
        <w:t>制定一场一策</w:t>
      </w:r>
      <w:r>
        <w:rPr>
          <w:rFonts w:hint="eastAsia"/>
          <w:color w:val="auto"/>
          <w:lang w:val="en-US" w:eastAsia="zh-CN"/>
        </w:rPr>
        <w:t>”</w:t>
      </w:r>
      <w:r>
        <w:rPr>
          <w:rFonts w:hint="default"/>
          <w:color w:val="auto"/>
          <w:lang w:val="en-US" w:eastAsia="zh-CN"/>
        </w:rPr>
        <w:t>的</w:t>
      </w:r>
      <w:r>
        <w:rPr>
          <w:rFonts w:hint="eastAsia"/>
          <w:color w:val="auto"/>
          <w:lang w:val="en-US" w:eastAsia="zh-CN"/>
        </w:rPr>
        <w:t>整改</w:t>
      </w:r>
      <w:r>
        <w:rPr>
          <w:rFonts w:hint="default"/>
          <w:color w:val="auto"/>
          <w:lang w:val="en-US" w:eastAsia="zh-CN"/>
        </w:rPr>
        <w:t>工作方案，提出整改措施和整改期限</w:t>
      </w:r>
      <w:r>
        <w:rPr>
          <w:rFonts w:hint="eastAsia"/>
          <w:color w:val="auto"/>
          <w:lang w:val="en-US" w:eastAsia="zh-CN"/>
        </w:rPr>
        <w:t>。</w:t>
      </w:r>
    </w:p>
    <w:p w14:paraId="7DF8FF09">
      <w:pPr>
        <w:bidi w:val="0"/>
        <w:rPr>
          <w:rFonts w:hint="eastAsia"/>
          <w:color w:val="auto"/>
          <w:lang w:val="en-US" w:eastAsia="zh-CN"/>
        </w:rPr>
      </w:pPr>
      <w:r>
        <w:rPr>
          <w:rFonts w:hint="eastAsia"/>
          <w:color w:val="auto"/>
          <w:lang w:val="en-US" w:eastAsia="zh-CN"/>
        </w:rPr>
        <w:t>整改方案需明确以下问题：</w:t>
      </w:r>
    </w:p>
    <w:p w14:paraId="0C3952C3">
      <w:pPr>
        <w:bidi w:val="0"/>
        <w:rPr>
          <w:rFonts w:hint="eastAsia"/>
          <w:color w:val="auto"/>
          <w:lang w:val="en-US" w:eastAsia="zh-CN"/>
        </w:rPr>
      </w:pPr>
      <w:r>
        <w:rPr>
          <w:rFonts w:hint="eastAsia"/>
          <w:color w:val="auto"/>
          <w:lang w:val="en-US" w:eastAsia="zh-CN"/>
        </w:rPr>
        <w:t>1、明确场地的用地类型，是否涉及到基本农田、耕地、林地等，是否在生态红线范围内，是否压占地下管线；</w:t>
      </w:r>
    </w:p>
    <w:p w14:paraId="4ADBC466">
      <w:pPr>
        <w:bidi w:val="0"/>
        <w:rPr>
          <w:rFonts w:hint="default"/>
          <w:color w:val="auto"/>
          <w:lang w:val="en-US" w:eastAsia="zh-CN"/>
        </w:rPr>
      </w:pPr>
      <w:r>
        <w:rPr>
          <w:rFonts w:hint="eastAsia"/>
          <w:color w:val="auto"/>
          <w:lang w:val="en-US" w:eastAsia="zh-CN"/>
        </w:rPr>
        <w:t>2、明确距离敏感性地区，距离居民区、学校、医院、水源保护区的距离；</w:t>
      </w:r>
    </w:p>
    <w:p w14:paraId="21A1ED6B">
      <w:pPr>
        <w:bidi w:val="0"/>
        <w:rPr>
          <w:rFonts w:hint="eastAsia"/>
          <w:color w:val="auto"/>
          <w:lang w:val="en-US" w:eastAsia="zh-CN"/>
        </w:rPr>
      </w:pPr>
      <w:r>
        <w:rPr>
          <w:rFonts w:hint="eastAsia"/>
          <w:color w:val="auto"/>
          <w:lang w:val="en-US" w:eastAsia="zh-CN"/>
        </w:rPr>
        <w:t>3、堆体现状总量、建筑垃圾组成比例（混凝土块、砖瓦、渣土、有机质等）；</w:t>
      </w:r>
    </w:p>
    <w:p w14:paraId="22DF465A">
      <w:pPr>
        <w:bidi w:val="0"/>
        <w:rPr>
          <w:rFonts w:hint="eastAsia"/>
          <w:color w:val="auto"/>
          <w:lang w:val="en-US" w:eastAsia="zh-CN"/>
        </w:rPr>
      </w:pPr>
      <w:r>
        <w:rPr>
          <w:rFonts w:hint="eastAsia"/>
          <w:color w:val="auto"/>
          <w:lang w:val="en-US" w:eastAsia="zh-CN"/>
        </w:rPr>
        <w:t>4、现状是否存在土壤、地下水及大气污染，存在污染情况需立即进行治理；</w:t>
      </w:r>
    </w:p>
    <w:p w14:paraId="31C54A63">
      <w:pPr>
        <w:bidi w:val="0"/>
        <w:rPr>
          <w:rFonts w:hint="default"/>
          <w:color w:val="auto"/>
          <w:lang w:val="en-US" w:eastAsia="zh-CN"/>
        </w:rPr>
      </w:pPr>
      <w:r>
        <w:rPr>
          <w:rFonts w:hint="eastAsia"/>
          <w:color w:val="auto"/>
          <w:lang w:val="en-US" w:eastAsia="zh-CN"/>
        </w:rPr>
        <w:t>5、明确是否需要异地治理，对于废沥青、废旧管材、废旧木材、金属、橡（胶）（塑）料、竹木、纺织物等含量不大于5%的，可进行原地生态修复，客土厚度按照土壤修复相关国家规范条文执行。</w:t>
      </w:r>
    </w:p>
    <w:p w14:paraId="1B3D0649">
      <w:pPr>
        <w:bidi w:val="0"/>
        <w:rPr>
          <w:rFonts w:hint="eastAsia"/>
          <w:color w:val="auto"/>
          <w:lang w:val="en-US" w:eastAsia="zh-CN"/>
        </w:rPr>
      </w:pPr>
      <w:r>
        <w:rPr>
          <w:rFonts w:hint="eastAsia"/>
          <w:color w:val="auto"/>
          <w:lang w:val="en-US" w:eastAsia="zh-CN"/>
        </w:rPr>
        <w:t>6、对于废沥青、废旧管材、废旧木材、金属、橡（胶）（塑）料、竹木、纺织物等含量大于5%的，需进行筛分处理，明确资源化去向表，分为可资源化类、可焚烧类、可回收类、不可利用类等几大类；</w:t>
      </w:r>
    </w:p>
    <w:p w14:paraId="7D1DA0F8">
      <w:pPr>
        <w:bidi w:val="0"/>
        <w:rPr>
          <w:rFonts w:hint="default"/>
          <w:color w:val="auto"/>
          <w:lang w:val="en-US" w:eastAsia="zh-CN"/>
        </w:rPr>
      </w:pPr>
    </w:p>
    <w:p w14:paraId="177D3D56">
      <w:pPr>
        <w:bidi w:val="0"/>
        <w:rPr>
          <w:rFonts w:hint="default"/>
          <w:color w:val="auto"/>
          <w:lang w:val="en-US" w:eastAsia="zh-CN"/>
        </w:rPr>
      </w:pPr>
      <w:r>
        <w:rPr>
          <w:rFonts w:hint="eastAsia"/>
          <w:color w:val="auto"/>
          <w:lang w:val="en-US" w:eastAsia="zh-CN"/>
        </w:rPr>
        <w:t>（3）</w:t>
      </w:r>
      <w:r>
        <w:rPr>
          <w:rFonts w:hint="default"/>
          <w:color w:val="auto"/>
          <w:lang w:val="en-US" w:eastAsia="zh-CN"/>
        </w:rPr>
        <w:t>严格控制增量，在产生环节督促建设单位落实建筑垃圾减量化的首要责任，在运输环节督促运输单位按照指定的建筑垃圾运输路线密闭运输，坚决遏制非法运输倾倒建筑垃圾行为</w:t>
      </w:r>
      <w:r>
        <w:rPr>
          <w:rFonts w:hint="eastAsia"/>
          <w:color w:val="auto"/>
          <w:lang w:val="en-US" w:eastAsia="zh-CN"/>
        </w:rPr>
        <w:t>；</w:t>
      </w:r>
    </w:p>
    <w:p w14:paraId="1F524D80">
      <w:pPr>
        <w:bidi w:val="0"/>
        <w:rPr>
          <w:rFonts w:hint="default"/>
          <w:color w:val="auto"/>
          <w:lang w:val="en-US" w:eastAsia="zh-CN"/>
        </w:rPr>
      </w:pPr>
      <w:r>
        <w:rPr>
          <w:rFonts w:hint="eastAsia"/>
          <w:color w:val="auto"/>
          <w:lang w:val="en-US" w:eastAsia="zh-CN"/>
        </w:rPr>
        <w:t>（4）</w:t>
      </w:r>
      <w:r>
        <w:rPr>
          <w:rFonts w:hint="default"/>
          <w:color w:val="auto"/>
          <w:lang w:val="en-US" w:eastAsia="zh-CN"/>
        </w:rPr>
        <w:t>大力推广信息化手段，推广智能化管理系统，对建筑垃圾的产生、运输、处置等全过程进行实时监控和数据分析，提高治理效率和准确性。</w:t>
      </w:r>
    </w:p>
    <w:p w14:paraId="61A28D0B">
      <w:pPr>
        <w:rPr>
          <w:rFonts w:hint="default"/>
          <w:color w:val="auto"/>
          <w:lang w:val="en-US" w:eastAsia="zh-CN"/>
        </w:rPr>
      </w:pPr>
      <w:r>
        <w:rPr>
          <w:rFonts w:hint="default"/>
          <w:color w:val="auto"/>
          <w:lang w:val="en-US" w:eastAsia="zh-CN"/>
        </w:rPr>
        <w:br w:type="page"/>
      </w:r>
    </w:p>
    <w:p w14:paraId="29E47BA4">
      <w:pPr>
        <w:pStyle w:val="2"/>
        <w:bidi w:val="0"/>
        <w:rPr>
          <w:rFonts w:hint="default"/>
          <w:color w:val="auto"/>
          <w:lang w:val="en-US" w:eastAsia="zh-CN"/>
        </w:rPr>
      </w:pPr>
      <w:bookmarkStart w:id="99" w:name="_Toc13247"/>
      <w:r>
        <w:rPr>
          <w:rFonts w:hint="default"/>
          <w:color w:val="auto"/>
          <w:lang w:val="en-US" w:eastAsia="zh-CN"/>
        </w:rPr>
        <w:t>第</w:t>
      </w:r>
      <w:r>
        <w:rPr>
          <w:rFonts w:hint="eastAsia"/>
          <w:color w:val="auto"/>
          <w:lang w:val="en-US" w:eastAsia="zh-CN"/>
        </w:rPr>
        <w:t>九</w:t>
      </w:r>
      <w:r>
        <w:rPr>
          <w:rFonts w:hint="default"/>
          <w:color w:val="auto"/>
          <w:lang w:val="en-US" w:eastAsia="zh-CN"/>
        </w:rPr>
        <w:t xml:space="preserve">章 </w:t>
      </w:r>
      <w:r>
        <w:rPr>
          <w:rFonts w:hint="eastAsia"/>
          <w:color w:val="auto"/>
          <w:lang w:val="en-US" w:eastAsia="zh-CN"/>
        </w:rPr>
        <w:t>建筑垃圾监督管理规划</w:t>
      </w:r>
      <w:bookmarkEnd w:id="99"/>
    </w:p>
    <w:p w14:paraId="7D2765B4">
      <w:pPr>
        <w:pStyle w:val="3"/>
        <w:bidi w:val="0"/>
        <w:rPr>
          <w:rFonts w:hint="eastAsia"/>
          <w:color w:val="auto"/>
          <w:lang w:val="en-US" w:eastAsia="zh-CN"/>
        </w:rPr>
      </w:pPr>
      <w:bookmarkStart w:id="100" w:name="_Toc22187"/>
      <w:r>
        <w:rPr>
          <w:rFonts w:hint="eastAsia"/>
          <w:color w:val="auto"/>
          <w:lang w:val="en-US" w:eastAsia="zh-CN"/>
        </w:rPr>
        <w:t xml:space="preserve">9.1 </w:t>
      </w:r>
      <w:bookmarkStart w:id="101" w:name="_Toc24186"/>
      <w:r>
        <w:rPr>
          <w:rFonts w:hint="eastAsia"/>
          <w:color w:val="auto"/>
          <w:lang w:val="en-US" w:eastAsia="zh-CN"/>
        </w:rPr>
        <w:t>建筑垃圾处置核准制度</w:t>
      </w:r>
      <w:bookmarkEnd w:id="100"/>
      <w:bookmarkEnd w:id="101"/>
    </w:p>
    <w:p w14:paraId="2D515D03">
      <w:pPr>
        <w:keepNext w:val="0"/>
        <w:keepLines w:val="0"/>
        <w:pageBreakBefore w:val="0"/>
        <w:widowControl/>
        <w:kinsoku w:val="0"/>
        <w:wordWrap/>
        <w:overflowPunct/>
        <w:topLinePunct w:val="0"/>
        <w:autoSpaceDE w:val="0"/>
        <w:autoSpaceDN w:val="0"/>
        <w:bidi w:val="0"/>
        <w:adjustRightInd w:val="0"/>
        <w:snapToGrid w:val="0"/>
        <w:spacing w:after="120" w:afterLines="0" w:afterAutospacing="0" w:line="300" w:lineRule="auto"/>
        <w:ind w:left="0" w:leftChars="0" w:firstLine="562" w:firstLineChars="200"/>
        <w:jc w:val="left"/>
        <w:textAlignment w:val="baseline"/>
        <w:rPr>
          <w:rFonts w:hint="eastAsia" w:ascii="Times New Roman" w:hAnsi="Times New Roman" w:eastAsia="宋体" w:cs="Arial"/>
          <w:b/>
          <w:bCs/>
          <w:snapToGrid w:val="0"/>
          <w:color w:val="auto"/>
          <w:kern w:val="0"/>
          <w:sz w:val="28"/>
          <w:szCs w:val="21"/>
          <w:highlight w:val="none"/>
          <w:lang w:val="en-US" w:eastAsia="zh-CN"/>
        </w:rPr>
      </w:pPr>
      <w:r>
        <w:rPr>
          <w:rFonts w:hint="eastAsia" w:ascii="Times New Roman" w:hAnsi="Times New Roman" w:eastAsia="宋体" w:cs="Arial"/>
          <w:b/>
          <w:bCs/>
          <w:snapToGrid w:val="0"/>
          <w:color w:val="auto"/>
          <w:kern w:val="0"/>
          <w:sz w:val="28"/>
          <w:szCs w:val="21"/>
          <w:highlight w:val="none"/>
          <w:lang w:val="en-US" w:eastAsia="zh-CN"/>
        </w:rPr>
        <w:t>1、建筑垃圾处置（排放）核准</w:t>
      </w:r>
    </w:p>
    <w:p w14:paraId="4D9C9F6C">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建设工程项目需要排放建筑垃圾的，应当在取得建筑工程施工许可证、开工报告等开工许可文件前，申请办理建筑垃圾处置（排放）核准文件，应当提交以下材料：</w:t>
      </w:r>
    </w:p>
    <w:p w14:paraId="1C788D72">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提交核准申请表，具有建筑垃圾产生种类、数量及周期，运输的时间、路线和处理地点名称；</w:t>
      </w:r>
    </w:p>
    <w:p w14:paraId="483937C9">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与运输单位签订的合同；</w:t>
      </w:r>
    </w:p>
    <w:p w14:paraId="28428128">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与处理单位签订的合同（与利用和处置单位签订的合同，或者与转运调配单位签订的合同，或者与其他工程回填核准项目签订的合同）。</w:t>
      </w:r>
    </w:p>
    <w:p w14:paraId="7B76A009">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无需办理施工许可的装饰装修工程，产生装修垃圾的单位和个人应当将装修垃圾投放至指定地点，并委托取得建筑垃圾处置（运输）核准的单位进行清运。实施物业管理的区域，物业服务单位应当设置装修垃圾暂时存放场所；未实施物业管理的区域，</w:t>
      </w:r>
      <w:r>
        <w:rPr>
          <w:rFonts w:hint="eastAsia" w:cs="Times New Roman"/>
          <w:color w:val="auto"/>
          <w:highlight w:val="none"/>
          <w:lang w:val="en-US" w:eastAsia="zh-CN"/>
        </w:rPr>
        <w:t>属地建筑垃圾主管部门</w:t>
      </w:r>
      <w:r>
        <w:rPr>
          <w:rFonts w:hint="eastAsia" w:ascii="Times New Roman" w:hAnsi="Times New Roman" w:eastAsia="宋体" w:cs="Times New Roman"/>
          <w:color w:val="auto"/>
          <w:highlight w:val="none"/>
          <w:lang w:val="en-US" w:eastAsia="zh-CN"/>
        </w:rPr>
        <w:t>应当会同街道办事处规范设置装修垃圾暂时存放场所。暂时存放场所周边应当保持环境整洁。鼓励产生装修垃圾的单位和个人采取提前预约、定时收运等方式清运装修垃圾。</w:t>
      </w:r>
    </w:p>
    <w:p w14:paraId="7E31DA53">
      <w:pPr>
        <w:keepNext w:val="0"/>
        <w:keepLines w:val="0"/>
        <w:pageBreakBefore w:val="0"/>
        <w:widowControl/>
        <w:kinsoku w:val="0"/>
        <w:wordWrap/>
        <w:overflowPunct/>
        <w:topLinePunct w:val="0"/>
        <w:autoSpaceDE w:val="0"/>
        <w:autoSpaceDN w:val="0"/>
        <w:bidi w:val="0"/>
        <w:adjustRightInd w:val="0"/>
        <w:snapToGrid w:val="0"/>
        <w:spacing w:after="120" w:afterLines="0" w:afterAutospacing="0" w:line="300" w:lineRule="auto"/>
        <w:ind w:left="0" w:leftChars="0" w:firstLine="562" w:firstLineChars="200"/>
        <w:jc w:val="left"/>
        <w:textAlignment w:val="baseline"/>
        <w:rPr>
          <w:rFonts w:hint="default" w:ascii="Times New Roman" w:hAnsi="Times New Roman" w:eastAsia="宋体" w:cs="Arial"/>
          <w:snapToGrid w:val="0"/>
          <w:color w:val="auto"/>
          <w:kern w:val="0"/>
          <w:sz w:val="28"/>
          <w:szCs w:val="21"/>
          <w:highlight w:val="none"/>
          <w:lang w:val="en-US" w:eastAsia="zh-CN"/>
        </w:rPr>
      </w:pPr>
      <w:r>
        <w:rPr>
          <w:rFonts w:hint="eastAsia" w:ascii="Times New Roman" w:hAnsi="Times New Roman" w:eastAsia="宋体" w:cs="Arial"/>
          <w:b/>
          <w:bCs/>
          <w:snapToGrid w:val="0"/>
          <w:color w:val="auto"/>
          <w:kern w:val="0"/>
          <w:sz w:val="28"/>
          <w:szCs w:val="21"/>
          <w:highlight w:val="none"/>
          <w:lang w:val="en-US" w:eastAsia="zh-CN"/>
        </w:rPr>
        <w:t>2、建筑垃圾处置（运输）核准</w:t>
      </w:r>
    </w:p>
    <w:p w14:paraId="1C3A5FAC">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从事建筑垃圾运输的单位申请办理建筑垃圾处置（运输）核准文件，应当提交以下材料：</w:t>
      </w:r>
    </w:p>
    <w:p w14:paraId="3E24AB14">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提交建筑垃圾处置（运输）核准申请表；</w:t>
      </w:r>
    </w:p>
    <w:p w14:paraId="599771EA">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具有合法的适度数量规模的自有运输车辆（船舶）（原则上不少于5辆车辆或者总吨位不少于3000吨船舶的权属证件；</w:t>
      </w:r>
    </w:p>
    <w:p w14:paraId="5C46E6FF">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具有健全的运输车辆（船舶）运营、安全、质量、保养、行政管理制度并得到有效执行；</w:t>
      </w:r>
    </w:p>
    <w:p w14:paraId="504AF9F8">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（4）</w:t>
      </w:r>
      <w:r>
        <w:rPr>
          <w:rFonts w:hint="eastAsia" w:ascii="Times New Roman" w:hAnsi="Times New Roman" w:eastAsia="宋体" w:cs="Times New Roman"/>
          <w:color w:val="auto"/>
          <w:highlight w:val="none"/>
          <w:lang w:val="en-US" w:eastAsia="zh-CN"/>
        </w:rPr>
        <w:t>运输车辆（船舶）具备全密闭运输机械装置或密闭苫盖装置，安装卫星定位、行驶及装卸记录仪等装置，且符合建筑垃圾运输车辆（船舶）技术标准。</w:t>
      </w:r>
    </w:p>
    <w:p w14:paraId="6298E54D">
      <w:pPr>
        <w:keepNext w:val="0"/>
        <w:keepLines w:val="0"/>
        <w:pageBreakBefore w:val="0"/>
        <w:widowControl/>
        <w:wordWrap/>
        <w:overflowPunct/>
        <w:topLinePunct w:val="0"/>
        <w:autoSpaceDE/>
        <w:autoSpaceDN/>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运输单位承运建筑垃圾应当遵守以下规定：不得承接未经排放核准或者与排放核准不相符的建筑垃圾运输业务；随车辆（船舶）携带排放、运输核准文件或副本；车辆（船舶）按照核准的时间、路线运送至核准文件载明的利用或者处置设施；车辆（船舶）全程密闭运输，不得沿途遗撒，不得超载超限；保持车辆（船舶）外部整洁，标识、号牌清晰；保持车辆（船舶）卫星定位、行驶及装卸记录等装置正常使用；法律、法规和规章的其他要求。</w:t>
      </w:r>
    </w:p>
    <w:p w14:paraId="21B2FEAD">
      <w:pPr>
        <w:keepNext w:val="0"/>
        <w:keepLines w:val="0"/>
        <w:pageBreakBefore w:val="0"/>
        <w:widowControl/>
        <w:kinsoku w:val="0"/>
        <w:wordWrap/>
        <w:overflowPunct/>
        <w:topLinePunct w:val="0"/>
        <w:autoSpaceDE w:val="0"/>
        <w:autoSpaceDN w:val="0"/>
        <w:bidi w:val="0"/>
        <w:adjustRightInd w:val="0"/>
        <w:snapToGrid w:val="0"/>
        <w:spacing w:after="120" w:afterLines="0" w:afterAutospacing="0" w:line="300" w:lineRule="auto"/>
        <w:ind w:left="0" w:leftChars="0" w:firstLine="562" w:firstLineChars="200"/>
        <w:jc w:val="left"/>
        <w:textAlignment w:val="baseline"/>
        <w:rPr>
          <w:rFonts w:hint="eastAsia" w:ascii="Times New Roman" w:hAnsi="Times New Roman" w:eastAsia="宋体" w:cs="Arial"/>
          <w:b/>
          <w:bCs/>
          <w:snapToGrid w:val="0"/>
          <w:color w:val="auto"/>
          <w:kern w:val="0"/>
          <w:sz w:val="28"/>
          <w:szCs w:val="21"/>
          <w:highlight w:val="yellow"/>
          <w:lang w:val="en-US" w:eastAsia="zh-CN"/>
        </w:rPr>
      </w:pPr>
      <w:r>
        <w:rPr>
          <w:rFonts w:hint="eastAsia" w:ascii="Times New Roman" w:hAnsi="Times New Roman" w:eastAsia="宋体" w:cs="Arial"/>
          <w:b/>
          <w:bCs/>
          <w:snapToGrid w:val="0"/>
          <w:color w:val="auto"/>
          <w:kern w:val="0"/>
          <w:sz w:val="28"/>
          <w:szCs w:val="21"/>
          <w:highlight w:val="none"/>
          <w:lang w:val="en-US" w:eastAsia="zh-CN"/>
        </w:rPr>
        <w:t>3、建筑垃圾处置（处理）核准</w:t>
      </w:r>
    </w:p>
    <w:p w14:paraId="017BABEF">
      <w:pPr>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（1）从事建筑垃圾贮存转运调配活动的单位申请办理建筑垃圾处置（处理）核准文件，应当提交以下材料：</w:t>
      </w:r>
    </w:p>
    <w:p w14:paraId="47FC17B0">
      <w:pPr>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提交建筑垃圾处置（处理）核准申请表；</w:t>
      </w:r>
    </w:p>
    <w:p w14:paraId="04CA8BF4">
      <w:pPr>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具有土地、场所所有权或者使用权证明材料，或具有土地、场所租赁证明材料；</w:t>
      </w:r>
    </w:p>
    <w:p w14:paraId="783B94D9">
      <w:pPr>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具有工艺流程、场地平面图、进出场道路建设方案等材料；</w:t>
      </w:r>
    </w:p>
    <w:p w14:paraId="5A65B787">
      <w:pPr>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（2）从事建筑垃圾处理的单位申请办理建筑垃圾处置（处理）核准文件，应当提交以下材料：</w:t>
      </w:r>
    </w:p>
    <w:p w14:paraId="2ADB9DB0">
      <w:pPr>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提交建筑垃圾处置（处理）核准申请表；</w:t>
      </w:r>
    </w:p>
    <w:p w14:paraId="26571991">
      <w:pPr>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具有建筑垃圾处置设施的土地、场所所有权或者使用证明；</w:t>
      </w:r>
    </w:p>
    <w:p w14:paraId="1EABA2C8">
      <w:pPr>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具有处置设施的工艺流程图、场地平面图、进场路线图，设备管理、生产运营、环境卫生、安全管理、质量控制、计量统计、污染防治等管理制度文本；</w:t>
      </w:r>
    </w:p>
    <w:p w14:paraId="6CC41BDD">
      <w:pPr>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4）</w:t>
      </w:r>
      <w:r>
        <w:rPr>
          <w:rFonts w:hint="eastAsia" w:ascii="Times New Roman" w:hAnsi="Times New Roman" w:eastAsia="宋体" w:cs="Times New Roman"/>
          <w:color w:val="auto"/>
          <w:highlight w:val="none"/>
          <w:lang w:val="en-US" w:eastAsia="zh-CN"/>
        </w:rPr>
        <w:t>具有建筑垃圾分类处理的方案和对废混凝土、金属、木材等回收利用的方案；</w:t>
      </w:r>
    </w:p>
    <w:p w14:paraId="2B3C5756">
      <w:pPr>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工程需要回填工程渣土的，需提交建筑垃圾处置（处理）核准申请表和工程立项材料。</w:t>
      </w:r>
    </w:p>
    <w:p w14:paraId="350C700D">
      <w:pPr>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建筑垃圾贮存转运调配单位开展建筑垃圾贮存转运调配活动，应当遵守以下规定：建议按照生态环境部门相关要求通过环境影响评价审查；不得接收未经排放核准或者与排放核准不相符的建筑垃圾；不得接收工业固体废物、生活垃圾、危险废物；应划定建筑垃圾分类贮存场所，分类收集贮存建筑垃圾，不得混入生活垃圾或者其他固体废物，并设置符合相关技术规范的围蔽设施；对场所进出口道路进行硬化；在场所出入口安装视频监控、计量称重等设备，如实记录车辆出入以及建筑垃圾种类、数量等信息；在现场醒目位置公示贮存规模、收费标准等信息；建立健全环境卫生、扬尘防治和安全管理制度，并组织实施；法律、法规和规章的其他要求。</w:t>
      </w:r>
    </w:p>
    <w:p w14:paraId="75B94552">
      <w:pPr>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建筑垃圾处理单位从事建筑垃圾堆填、填埋处置、资源化利用等活动，应当遵守以下规定：应按照生态环境部门相关要求通过环境影响评价审查；不得接收未经排放核准或者与排放核准不相符的建筑垃圾；不得接收工业固体废物、生活垃圾、危险废物；配备相应的摊铺、碾压、排水、消防、环保、照明，以及车辆冲洗、计量称重、视频监控等机械和设备；加强对相关设施、机械设备的管理和维护，确保正常运行和使用；按照有关技术规范和设计容量进行作业和分区、分类堆填、堆放建筑垃圾；建立建筑垃圾利用和处置生产台账，如实记录建筑垃圾来源、种类、数量、产品去向等信息；依法及时公开地理位置、处置规模、收费标准等信息；建立健全环境卫生和安全管理制度；法律、法规和规章的其他规定。</w:t>
      </w:r>
    </w:p>
    <w:p w14:paraId="2CF87BFC">
      <w:pPr>
        <w:bidi w:val="0"/>
        <w:ind w:left="0" w:leftChars="0" w:firstLine="0" w:firstLineChars="0"/>
        <w:rPr>
          <w:rFonts w:hint="eastAsia"/>
          <w:color w:val="auto"/>
          <w:lang w:val="en-US" w:eastAsia="zh-CN"/>
        </w:rPr>
      </w:pPr>
      <w:r>
        <w:rPr>
          <w:rFonts w:hint="eastAsia"/>
          <w:color w:val="auto"/>
          <w:lang w:val="en-US" w:eastAsia="zh-CN"/>
        </w:rPr>
        <w:drawing>
          <wp:inline distT="0" distB="0" distL="114300" distR="114300">
            <wp:extent cx="6328410" cy="5156200"/>
            <wp:effectExtent l="0" t="0" r="15240" b="6350"/>
            <wp:docPr id="13" name="图片 13" descr="建筑垃圾行政审批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建筑垃圾行政审批流程图"/>
                    <pic:cNvPicPr>
                      <a:picLocks noChangeAspect="1"/>
                    </pic:cNvPicPr>
                  </pic:nvPicPr>
                  <pic:blipFill>
                    <a:blip r:embed="rId21"/>
                    <a:stretch>
                      <a:fillRect/>
                    </a:stretch>
                  </pic:blipFill>
                  <pic:spPr>
                    <a:xfrm>
                      <a:off x="0" y="0"/>
                      <a:ext cx="6328410" cy="5156200"/>
                    </a:xfrm>
                    <a:prstGeom prst="rect">
                      <a:avLst/>
                    </a:prstGeom>
                  </pic:spPr>
                </pic:pic>
              </a:graphicData>
            </a:graphic>
          </wp:inline>
        </w:drawing>
      </w:r>
    </w:p>
    <w:p w14:paraId="3A167273">
      <w:pPr>
        <w:bidi w:val="0"/>
        <w:jc w:val="center"/>
        <w:rPr>
          <w:rFonts w:hint="default"/>
          <w:b/>
          <w:bCs/>
          <w:color w:val="auto"/>
          <w:lang w:val="en-US" w:eastAsia="zh-CN"/>
        </w:rPr>
      </w:pPr>
      <w:r>
        <w:rPr>
          <w:rFonts w:hint="eastAsia"/>
          <w:b/>
          <w:bCs/>
          <w:color w:val="auto"/>
          <w:lang w:val="en-US" w:eastAsia="zh-CN"/>
        </w:rPr>
        <w:t>图9.1-1 审批流程图</w:t>
      </w:r>
    </w:p>
    <w:p w14:paraId="6BCFB865">
      <w:pPr>
        <w:pStyle w:val="3"/>
        <w:bidi w:val="0"/>
        <w:rPr>
          <w:rFonts w:hint="eastAsia"/>
          <w:color w:val="auto"/>
          <w:lang w:val="en-US" w:eastAsia="zh-CN"/>
        </w:rPr>
      </w:pPr>
      <w:bookmarkStart w:id="102" w:name="_Toc16492"/>
      <w:r>
        <w:rPr>
          <w:rFonts w:hint="eastAsia"/>
          <w:color w:val="auto"/>
          <w:lang w:val="en-US" w:eastAsia="zh-CN"/>
        </w:rPr>
        <w:t>9.2 部门职责分工</w:t>
      </w:r>
      <w:bookmarkEnd w:id="102"/>
    </w:p>
    <w:p w14:paraId="63DEA758">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lang w:val="en-US" w:eastAsia="zh-CN"/>
        </w:rPr>
        <w:t>建筑垃圾处置管理工作实行职能部门联动，明确单位分工，加强联合执法的工作原则。</w:t>
      </w:r>
    </w:p>
    <w:p w14:paraId="744AF73D">
      <w:pPr>
        <w:bidi w:val="0"/>
        <w:rPr>
          <w:rFonts w:hint="default"/>
          <w:color w:val="auto"/>
          <w:highlight w:val="none"/>
          <w:lang w:val="en-US" w:eastAsia="zh-CN"/>
        </w:rPr>
      </w:pPr>
      <w:r>
        <w:rPr>
          <w:rFonts w:hint="default" w:ascii="Times New Roman" w:hAnsi="Times New Roman" w:eastAsia="宋体"/>
          <w:color w:val="auto"/>
          <w:highlight w:val="none"/>
          <w:lang w:val="en-US" w:eastAsia="zh-CN"/>
        </w:rPr>
        <w:t>1</w:t>
      </w:r>
      <w:r>
        <w:rPr>
          <w:rFonts w:hint="eastAsia"/>
          <w:color w:val="auto"/>
          <w:highlight w:val="none"/>
          <w:lang w:val="en-US" w:eastAsia="zh-CN"/>
        </w:rPr>
        <w:t>、建筑垃圾减量及施工现场管理工作</w:t>
      </w:r>
    </w:p>
    <w:p w14:paraId="65BE88D2">
      <w:pPr>
        <w:bidi w:val="0"/>
        <w:ind w:left="560" w:leftChars="200" w:firstLine="0" w:firstLineChars="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市住房和城乡建设局：负责除交通、水利、铁路工程以外的建设工程减量工作。市交通运输局、市水务局、铁路相关部门：各自负责本领域的减量工作。</w:t>
      </w:r>
    </w:p>
    <w:p w14:paraId="2A9E94C2">
      <w:pPr>
        <w:bidi w:val="0"/>
        <w:ind w:left="560" w:leftChars="200" w:firstLine="0" w:firstLineChars="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各县区人民政府：负责具体落实。</w:t>
      </w:r>
    </w:p>
    <w:p w14:paraId="42C7C53C">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2</w:t>
      </w:r>
      <w:r>
        <w:rPr>
          <w:rFonts w:hint="eastAsia"/>
          <w:color w:val="auto"/>
          <w:highlight w:val="none"/>
          <w:lang w:val="en-US" w:eastAsia="zh-CN"/>
        </w:rPr>
        <w:t>、建筑垃圾分类工作</w:t>
      </w:r>
    </w:p>
    <w:p w14:paraId="495EDCE2">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市住房和城乡建设局：牵头落实建筑垃圾分类处理。</w:t>
      </w:r>
    </w:p>
    <w:p w14:paraId="70E772BC">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市生态环境局、市交通运输局、市水务局、铁路相关部门：按职责分工负责。</w:t>
      </w:r>
    </w:p>
    <w:p w14:paraId="0E8E4E7E">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各县区人民政府：负责具体落实。</w:t>
      </w:r>
    </w:p>
    <w:p w14:paraId="78E5760D">
      <w:pPr>
        <w:bidi w:val="0"/>
        <w:rPr>
          <w:rFonts w:hint="eastAsia"/>
          <w:color w:val="auto"/>
          <w:highlight w:val="none"/>
          <w:lang w:val="en-US" w:eastAsia="zh-CN"/>
        </w:rPr>
      </w:pPr>
      <w:r>
        <w:rPr>
          <w:rFonts w:hint="eastAsia"/>
          <w:color w:val="auto"/>
          <w:highlight w:val="none"/>
          <w:lang w:val="en-US" w:eastAsia="zh-CN"/>
        </w:rPr>
        <w:t>3、运输监管工作</w:t>
      </w:r>
    </w:p>
    <w:p w14:paraId="60BF7C14">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市住房和城乡建设局：牵头</w:t>
      </w:r>
      <w:r>
        <w:rPr>
          <w:rFonts w:hint="eastAsia"/>
          <w:color w:val="auto"/>
          <w:highlight w:val="none"/>
          <w:lang w:val="en-US" w:eastAsia="zh-CN"/>
        </w:rPr>
        <w:t>负责规范运输管理</w:t>
      </w:r>
      <w:r>
        <w:rPr>
          <w:rFonts w:hint="default" w:ascii="Times New Roman" w:hAnsi="Times New Roman" w:eastAsia="宋体"/>
          <w:color w:val="auto"/>
          <w:highlight w:val="none"/>
          <w:lang w:val="en-US" w:eastAsia="zh-CN"/>
        </w:rPr>
        <w:t>。</w:t>
      </w:r>
    </w:p>
    <w:p w14:paraId="29546780">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市工业和信息化局、市公安局、市交通运输局、市市场监管局：按职责分工负责。</w:t>
      </w:r>
    </w:p>
    <w:p w14:paraId="4E338C7D">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各县区人民政府：负责具体落实。</w:t>
      </w:r>
    </w:p>
    <w:p w14:paraId="57306685">
      <w:pPr>
        <w:bidi w:val="0"/>
        <w:rPr>
          <w:rFonts w:hint="default"/>
          <w:color w:val="auto"/>
          <w:highlight w:val="none"/>
          <w:lang w:val="en-US" w:eastAsia="zh-CN"/>
        </w:rPr>
      </w:pPr>
      <w:r>
        <w:rPr>
          <w:rFonts w:hint="eastAsia"/>
          <w:color w:val="auto"/>
          <w:highlight w:val="none"/>
          <w:lang w:val="en-US" w:eastAsia="zh-CN"/>
        </w:rPr>
        <w:t>4、处置场所选址与建设工作</w:t>
      </w:r>
    </w:p>
    <w:p w14:paraId="14315C3E">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市自然资源局、市住房和城乡建设局：按职责分工负责。</w:t>
      </w:r>
    </w:p>
    <w:p w14:paraId="2C1D56AD">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各县区人民政府：负责具体落实。</w:t>
      </w:r>
    </w:p>
    <w:p w14:paraId="34D59C97">
      <w:pPr>
        <w:bidi w:val="0"/>
        <w:rPr>
          <w:rFonts w:hint="eastAsia"/>
          <w:color w:val="auto"/>
          <w:highlight w:val="none"/>
          <w:lang w:val="en-US" w:eastAsia="zh-CN"/>
        </w:rPr>
      </w:pPr>
      <w:r>
        <w:rPr>
          <w:rFonts w:hint="eastAsia"/>
          <w:color w:val="auto"/>
          <w:highlight w:val="none"/>
          <w:lang w:val="en-US" w:eastAsia="zh-CN"/>
        </w:rPr>
        <w:t>5、存量治理工作</w:t>
      </w:r>
    </w:p>
    <w:p w14:paraId="534DC869">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市住房和城乡建设局</w:t>
      </w:r>
      <w:r>
        <w:rPr>
          <w:rFonts w:hint="eastAsia"/>
          <w:color w:val="auto"/>
          <w:highlight w:val="none"/>
          <w:lang w:val="en-US" w:eastAsia="zh-CN"/>
        </w:rPr>
        <w:t>：牵头负责存量治理工作。</w:t>
      </w:r>
    </w:p>
    <w:p w14:paraId="7DACE464">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市自然资源局、生态环境局、水务局：按职责分工负责。</w:t>
      </w:r>
    </w:p>
    <w:p w14:paraId="622AD4E0">
      <w:pPr>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各县区人民政府：负责具体落实。</w:t>
      </w:r>
    </w:p>
    <w:p w14:paraId="095D47C1">
      <w:pPr>
        <w:bidi w:val="0"/>
        <w:rPr>
          <w:rFonts w:hint="eastAsia"/>
          <w:color w:val="auto"/>
          <w:highlight w:val="none"/>
          <w:lang w:val="en-US" w:eastAsia="zh-CN"/>
        </w:rPr>
      </w:pPr>
      <w:r>
        <w:rPr>
          <w:rFonts w:hint="eastAsia"/>
          <w:color w:val="auto"/>
          <w:highlight w:val="none"/>
          <w:lang w:val="en-US" w:eastAsia="zh-CN"/>
        </w:rPr>
        <w:t>6、推进资源化利用</w:t>
      </w:r>
    </w:p>
    <w:p w14:paraId="29E94350">
      <w:pPr>
        <w:bidi w:val="0"/>
        <w:rPr>
          <w:rFonts w:hint="default"/>
          <w:color w:val="auto"/>
          <w:highlight w:val="none"/>
          <w:lang w:val="en-US" w:eastAsia="zh-CN"/>
        </w:rPr>
      </w:pPr>
      <w:r>
        <w:rPr>
          <w:rFonts w:hint="default"/>
          <w:color w:val="auto"/>
          <w:highlight w:val="none"/>
          <w:lang w:val="en-US" w:eastAsia="zh-CN"/>
        </w:rPr>
        <w:t>市住房和城乡建设局、市发改委：按职责分工负责。</w:t>
      </w:r>
    </w:p>
    <w:p w14:paraId="442AEE97">
      <w:pPr>
        <w:bidi w:val="0"/>
        <w:rPr>
          <w:rFonts w:hint="default"/>
          <w:color w:val="auto"/>
          <w:highlight w:val="none"/>
          <w:lang w:val="en-US" w:eastAsia="zh-CN"/>
        </w:rPr>
      </w:pPr>
      <w:r>
        <w:rPr>
          <w:rFonts w:hint="eastAsia"/>
          <w:color w:val="auto"/>
          <w:highlight w:val="none"/>
          <w:lang w:val="en-US" w:eastAsia="zh-CN"/>
        </w:rPr>
        <w:t>7、核准备案工作</w:t>
      </w:r>
    </w:p>
    <w:p w14:paraId="6A6BBBF0">
      <w:pPr>
        <w:bidi w:val="0"/>
        <w:rPr>
          <w:rFonts w:hint="default"/>
          <w:color w:val="auto"/>
          <w:highlight w:val="none"/>
          <w:lang w:val="en-US" w:eastAsia="zh-CN"/>
        </w:rPr>
      </w:pPr>
      <w:r>
        <w:rPr>
          <w:rFonts w:hint="default"/>
          <w:color w:val="auto"/>
          <w:highlight w:val="none"/>
          <w:lang w:val="en-US" w:eastAsia="zh-CN"/>
        </w:rPr>
        <w:t>市住房和城乡建设局：</w:t>
      </w:r>
      <w:r>
        <w:rPr>
          <w:rFonts w:hint="eastAsia"/>
          <w:color w:val="auto"/>
          <w:highlight w:val="none"/>
          <w:lang w:val="en-US" w:eastAsia="zh-CN"/>
        </w:rPr>
        <w:t>监督指导</w:t>
      </w:r>
      <w:r>
        <w:rPr>
          <w:rFonts w:hint="default"/>
          <w:color w:val="auto"/>
          <w:highlight w:val="none"/>
          <w:lang w:val="en-US" w:eastAsia="zh-CN"/>
        </w:rPr>
        <w:t>。</w:t>
      </w:r>
    </w:p>
    <w:p w14:paraId="7FF09CC1">
      <w:pPr>
        <w:bidi w:val="0"/>
        <w:rPr>
          <w:rFonts w:hint="default"/>
          <w:color w:val="auto"/>
          <w:highlight w:val="none"/>
          <w:lang w:val="en-US" w:eastAsia="zh-CN"/>
        </w:rPr>
      </w:pPr>
      <w:r>
        <w:rPr>
          <w:rFonts w:hint="default"/>
          <w:color w:val="auto"/>
          <w:highlight w:val="none"/>
          <w:lang w:val="en-US" w:eastAsia="zh-CN"/>
        </w:rPr>
        <w:t>各县区人民政府：负责具体落实核准备案工作。</w:t>
      </w:r>
    </w:p>
    <w:p w14:paraId="48F28A8A">
      <w:pPr>
        <w:bidi w:val="0"/>
        <w:rPr>
          <w:rFonts w:hint="eastAsia"/>
          <w:color w:val="auto"/>
          <w:highlight w:val="none"/>
          <w:lang w:val="en-US" w:eastAsia="zh-CN"/>
        </w:rPr>
      </w:pPr>
      <w:r>
        <w:rPr>
          <w:rFonts w:hint="eastAsia"/>
          <w:color w:val="auto"/>
          <w:highlight w:val="none"/>
          <w:lang w:val="en-US" w:eastAsia="zh-CN"/>
        </w:rPr>
        <w:t>8、强化联合执法</w:t>
      </w:r>
    </w:p>
    <w:p w14:paraId="5E7BE0E4">
      <w:pPr>
        <w:bidi w:val="0"/>
        <w:rPr>
          <w:rFonts w:hint="default"/>
          <w:color w:val="auto"/>
          <w:highlight w:val="none"/>
          <w:lang w:val="en-US" w:eastAsia="zh-CN"/>
        </w:rPr>
      </w:pPr>
      <w:r>
        <w:rPr>
          <w:rFonts w:hint="default"/>
          <w:color w:val="auto"/>
          <w:highlight w:val="none"/>
          <w:lang w:val="en-US" w:eastAsia="zh-CN"/>
        </w:rPr>
        <w:t>市住房和城乡建设局、市公安局、市自然资源局、市生态环境局、市交通运输局、市水务局：各自负责。</w:t>
      </w:r>
    </w:p>
    <w:p w14:paraId="093ADD07">
      <w:pPr>
        <w:bidi w:val="0"/>
        <w:rPr>
          <w:rFonts w:hint="default"/>
          <w:color w:val="auto"/>
          <w:highlight w:val="none"/>
          <w:lang w:val="en-US" w:eastAsia="zh-CN"/>
        </w:rPr>
      </w:pPr>
      <w:r>
        <w:rPr>
          <w:rFonts w:hint="default"/>
          <w:color w:val="auto"/>
          <w:highlight w:val="none"/>
          <w:lang w:val="en-US" w:eastAsia="zh-CN"/>
        </w:rPr>
        <w:t>各县区人民政府：负责具体落实。</w:t>
      </w:r>
    </w:p>
    <w:p w14:paraId="3E7EA322">
      <w:pPr>
        <w:pStyle w:val="3"/>
        <w:bidi w:val="0"/>
        <w:rPr>
          <w:rFonts w:hint="eastAsia"/>
          <w:color w:val="auto"/>
          <w:lang w:val="en-US" w:eastAsia="zh-CN"/>
        </w:rPr>
      </w:pPr>
      <w:bookmarkStart w:id="103" w:name="_Toc2382"/>
      <w:r>
        <w:rPr>
          <w:rFonts w:hint="eastAsia"/>
          <w:color w:val="auto"/>
          <w:lang w:val="en-US" w:eastAsia="zh-CN"/>
        </w:rPr>
        <w:t>9.3 全过程数字化治理建设</w:t>
      </w:r>
      <w:bookmarkEnd w:id="103"/>
    </w:p>
    <w:p w14:paraId="18C736D6">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加强</w:t>
      </w:r>
      <w:r>
        <w:rPr>
          <w:rFonts w:hint="eastAsia" w:ascii="Times New Roman" w:hAnsi="Times New Roman" w:eastAsia="宋体"/>
          <w:color w:val="auto"/>
          <w:lang w:val="en-US" w:eastAsia="zh-CN"/>
        </w:rPr>
        <w:t>本溪市</w:t>
      </w:r>
      <w:r>
        <w:rPr>
          <w:rFonts w:hint="default" w:ascii="Times New Roman" w:hAnsi="Times New Roman" w:eastAsia="宋体"/>
          <w:color w:val="auto"/>
          <w:lang w:val="en-US" w:eastAsia="zh-CN"/>
        </w:rPr>
        <w:t>建筑垃圾</w:t>
      </w:r>
      <w:r>
        <w:rPr>
          <w:rFonts w:hint="eastAsia" w:ascii="Times New Roman" w:hAnsi="Times New Roman" w:eastAsia="宋体"/>
          <w:color w:val="auto"/>
          <w:lang w:val="en-US" w:eastAsia="zh-CN"/>
        </w:rPr>
        <w:t>全过程</w:t>
      </w:r>
      <w:r>
        <w:rPr>
          <w:rFonts w:hint="default" w:ascii="Times New Roman" w:hAnsi="Times New Roman" w:eastAsia="宋体"/>
          <w:color w:val="auto"/>
          <w:lang w:val="en-US" w:eastAsia="zh-CN"/>
        </w:rPr>
        <w:t>信息化建设和服务能力，在数字化、网络化、智能化方面取得突破性进展，规划建立建筑垃圾全过程的信息化建设标准和评价体系，建成一体化的行业监管和服务体系，使得数据资源得以全面利用，促进</w:t>
      </w:r>
      <w:r>
        <w:rPr>
          <w:rFonts w:hint="eastAsia" w:ascii="Times New Roman" w:hAnsi="Times New Roman" w:eastAsia="宋体"/>
          <w:color w:val="auto"/>
          <w:lang w:val="en-US" w:eastAsia="zh-CN"/>
        </w:rPr>
        <w:t>本溪市</w:t>
      </w:r>
      <w:r>
        <w:rPr>
          <w:rFonts w:hint="default" w:ascii="Times New Roman" w:hAnsi="Times New Roman" w:eastAsia="宋体"/>
          <w:color w:val="auto"/>
          <w:lang w:val="en-US" w:eastAsia="zh-CN"/>
        </w:rPr>
        <w:t>建筑垃圾</w:t>
      </w:r>
      <w:r>
        <w:rPr>
          <w:rFonts w:hint="eastAsia" w:ascii="Times New Roman" w:hAnsi="Times New Roman" w:eastAsia="宋体"/>
          <w:color w:val="auto"/>
          <w:lang w:val="en-US" w:eastAsia="zh-CN"/>
        </w:rPr>
        <w:t>收集率与</w:t>
      </w:r>
      <w:r>
        <w:rPr>
          <w:rFonts w:hint="default" w:ascii="Times New Roman" w:hAnsi="Times New Roman" w:eastAsia="宋体"/>
          <w:color w:val="auto"/>
          <w:lang w:val="en-US" w:eastAsia="zh-CN"/>
        </w:rPr>
        <w:t>资源化利用率不断提升，信息化水平达到先进水平。</w:t>
      </w:r>
    </w:p>
    <w:p w14:paraId="5ABBA7E8">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本溪市</w:t>
      </w:r>
      <w:r>
        <w:rPr>
          <w:rFonts w:hint="default" w:ascii="Times New Roman" w:hAnsi="Times New Roman" w:eastAsia="宋体"/>
          <w:color w:val="auto"/>
          <w:lang w:val="en-US" w:eastAsia="zh-CN"/>
        </w:rPr>
        <w:t>建筑垃圾全过程信息化管理体系，包括信息平台和子系统。信息平台是指综合管理与循环利用信息共享平台，该平台通过联通各子系统实现数据共享应用，对平台用户提供跨系统的数据管理与应用服务，对公众提供子系统信息查询和展示功能。子系统则对应建筑垃圾治理流程中的各主要环节，用于建筑垃圾治理流程各环节的信息管理。</w:t>
      </w:r>
    </w:p>
    <w:p w14:paraId="1AEB7A3A">
      <w:pPr>
        <w:keepNext/>
        <w:keepLines/>
        <w:kinsoku w:val="0"/>
        <w:autoSpaceDE w:val="0"/>
        <w:autoSpaceDN w:val="0"/>
        <w:bidi w:val="0"/>
        <w:adjustRightInd w:val="0"/>
        <w:snapToGrid w:val="0"/>
        <w:spacing w:beforeAutospacing="0" w:afterAutospacing="0" w:line="360" w:lineRule="auto"/>
        <w:ind w:firstLine="0" w:firstLineChars="0"/>
        <w:jc w:val="left"/>
        <w:textAlignment w:val="baseline"/>
        <w:outlineLvl w:val="2"/>
        <w:rPr>
          <w:rFonts w:hint="default" w:ascii="Times New Roman" w:hAnsi="Times New Roman" w:eastAsia="宋体" w:cs="Arial"/>
          <w:b/>
          <w:snapToGrid w:val="0"/>
          <w:color w:val="auto"/>
          <w:kern w:val="0"/>
          <w:sz w:val="28"/>
          <w:szCs w:val="21"/>
          <w:lang w:val="en-US" w:eastAsia="zh-CN"/>
        </w:rPr>
      </w:pPr>
      <w:bookmarkStart w:id="104" w:name="_Toc25384"/>
      <w:r>
        <w:rPr>
          <w:rFonts w:hint="eastAsia" w:ascii="Times New Roman" w:hAnsi="Times New Roman" w:eastAsia="宋体" w:cs="Arial"/>
          <w:b/>
          <w:snapToGrid w:val="0"/>
          <w:color w:val="auto"/>
          <w:kern w:val="0"/>
          <w:sz w:val="28"/>
          <w:szCs w:val="21"/>
          <w:lang w:val="en-US" w:eastAsia="zh-CN"/>
        </w:rPr>
        <w:t>9.3.1 建设目标</w:t>
      </w:r>
      <w:bookmarkEnd w:id="104"/>
    </w:p>
    <w:p w14:paraId="7BE9904F">
      <w:pPr>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（1）建立闭环的建筑垃圾全过程监管体系</w:t>
      </w:r>
    </w:p>
    <w:p w14:paraId="6BB4B618">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建立健全闭合的建筑垃圾全过程监管制度，构建建筑垃圾的智能监管系统。实行</w:t>
      </w:r>
      <w:r>
        <w:rPr>
          <w:rFonts w:hint="eastAsia"/>
          <w:color w:val="auto"/>
          <w:lang w:val="en-US" w:eastAsia="zh-CN"/>
        </w:rPr>
        <w:t>建筑垃圾</w:t>
      </w:r>
      <w:r>
        <w:rPr>
          <w:rFonts w:hint="default" w:ascii="Times New Roman" w:hAnsi="Times New Roman" w:eastAsia="宋体"/>
          <w:color w:val="auto"/>
          <w:lang w:val="en-US" w:eastAsia="zh-CN"/>
        </w:rPr>
        <w:t>核准</w:t>
      </w:r>
      <w:r>
        <w:rPr>
          <w:rFonts w:hint="eastAsia"/>
          <w:color w:val="auto"/>
          <w:lang w:val="en-US" w:eastAsia="zh-CN"/>
        </w:rPr>
        <w:t>备案制度</w:t>
      </w:r>
      <w:r>
        <w:rPr>
          <w:rFonts w:hint="default" w:ascii="Times New Roman" w:hAnsi="Times New Roman" w:eastAsia="宋体"/>
          <w:color w:val="auto"/>
          <w:lang w:val="en-US" w:eastAsia="zh-CN"/>
        </w:rPr>
        <w:t>，企业网上申报资料，住建、公安等部门在线办公、联审联批。将建筑垃圾、运输车辆、处置设施和再生产品纳入监管，建立从建筑垃圾产生、分类、运输、资源化利用到消纳处置全过程的信息化监控管理体系，和对相关企业、个人的信用评价体系，实现对建筑垃圾种类、数量、运输车辆及去向等情况的联单管理和精准管控。</w:t>
      </w:r>
    </w:p>
    <w:p w14:paraId="57951171">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（2）</w:t>
      </w:r>
      <w:r>
        <w:rPr>
          <w:rFonts w:hint="default" w:ascii="Times New Roman" w:hAnsi="Times New Roman" w:eastAsia="宋体"/>
          <w:color w:val="auto"/>
          <w:lang w:val="en-US" w:eastAsia="zh-CN"/>
        </w:rPr>
        <w:t>建立建筑垃圾综合信息管理平台</w:t>
      </w:r>
    </w:p>
    <w:p w14:paraId="48247C47">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采集相关企业、运输车辆和处置设施等静态信息，以及建筑垃圾产生、分类、运输、利用和消纳处置过程等动态信息，进行存储和大数据分析、处理，构建建筑垃圾云数据中心。</w:t>
      </w:r>
    </w:p>
    <w:p w14:paraId="7FEAEC89">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建设综合信息管理平台，为企业提供产品宣传、服务通道。展示建筑垃圾处置设施，有</w:t>
      </w:r>
      <w:r>
        <w:rPr>
          <w:rFonts w:hint="eastAsia"/>
          <w:color w:val="auto"/>
          <w:lang w:val="en-US" w:eastAsia="zh-CN"/>
        </w:rPr>
        <w:t>核准</w:t>
      </w:r>
      <w:r>
        <w:rPr>
          <w:rFonts w:hint="default" w:ascii="Times New Roman" w:hAnsi="Times New Roman" w:eastAsia="宋体"/>
          <w:color w:val="auto"/>
          <w:lang w:val="en-US" w:eastAsia="zh-CN"/>
        </w:rPr>
        <w:t>资质的运输企业，运输车辆和处置场所等基础信息，以及建筑垃圾产生量、运输量、处置量，公开可利用建筑垃圾和再生产品供求信息，实现信息共享。</w:t>
      </w:r>
    </w:p>
    <w:p w14:paraId="4F4B5579">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（3）</w:t>
      </w:r>
      <w:r>
        <w:rPr>
          <w:rFonts w:hint="default" w:ascii="Times New Roman" w:hAnsi="Times New Roman" w:eastAsia="宋体"/>
          <w:color w:val="auto"/>
          <w:lang w:val="en-US" w:eastAsia="zh-CN"/>
        </w:rPr>
        <w:t>建立一体化的建筑垃圾行业信息化服务系统</w:t>
      </w:r>
    </w:p>
    <w:p w14:paraId="224C377B">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不断完善建筑垃圾资源化利用各个阶段的标准、规范，通过产生量预测、体量估算和分类识别，为规划、设计、施工阶段和建筑垃圾分类处理进行源头减量化提供数字依据。对建筑垃圾分类、骨料加工和再生产品生产，进行模型构建、数据分析，为企业提升生产工艺和装备改造，实现智能化、自动化提供服务。</w:t>
      </w:r>
    </w:p>
    <w:p w14:paraId="0E6FAFAA">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（4）</w:t>
      </w:r>
      <w:r>
        <w:rPr>
          <w:rFonts w:hint="default" w:ascii="Times New Roman" w:hAnsi="Times New Roman" w:eastAsia="宋体"/>
          <w:color w:val="auto"/>
          <w:lang w:val="en-US" w:eastAsia="zh-CN"/>
        </w:rPr>
        <w:t>建立资源化利用智能综合评价系统确定不同阶段的评价指标，建立评估模型。开展安全风险和环境影响评估，进行风险评估和预警系统的研发，对各个阶段的环境污染和安全隐患进行持续监测和预警，实现全过程无害化的跟踪服</w:t>
      </w:r>
      <w:r>
        <w:rPr>
          <w:rFonts w:hint="eastAsia" w:ascii="Times New Roman" w:hAnsi="Times New Roman" w:eastAsia="宋体"/>
          <w:color w:val="auto"/>
          <w:lang w:val="en-US" w:eastAsia="zh-CN"/>
        </w:rPr>
        <w:t>务。</w:t>
      </w:r>
    </w:p>
    <w:p w14:paraId="6C7658CA">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信息平台建设的主要目的是提高建筑垃圾资源化与利用的管理水平，强化对工作过程的监督管理，促进业务协调科学发展。信息平台包括</w:t>
      </w:r>
      <w:r>
        <w:rPr>
          <w:rFonts w:hint="eastAsia"/>
          <w:color w:val="auto"/>
          <w:lang w:val="en-US" w:eastAsia="zh-CN"/>
        </w:rPr>
        <w:t>；</w:t>
      </w:r>
      <w:r>
        <w:rPr>
          <w:rFonts w:hint="default" w:ascii="Times New Roman" w:hAnsi="Times New Roman" w:eastAsia="宋体"/>
          <w:color w:val="auto"/>
          <w:lang w:val="en-US" w:eastAsia="zh-CN"/>
        </w:rPr>
        <w:t>平台门户网站、审批备案系统、远程视频监管系统、车辆跟踪管理系统、处理过程远程监控系统、计量系统、商务管理系统、环境监控系统、数据接口等。</w:t>
      </w:r>
    </w:p>
    <w:p w14:paraId="2B42E8BF">
      <w:pPr>
        <w:keepNext/>
        <w:keepLines/>
        <w:kinsoku w:val="0"/>
        <w:autoSpaceDE w:val="0"/>
        <w:autoSpaceDN w:val="0"/>
        <w:bidi w:val="0"/>
        <w:adjustRightInd w:val="0"/>
        <w:snapToGrid w:val="0"/>
        <w:spacing w:beforeAutospacing="0" w:afterAutospacing="0" w:line="360" w:lineRule="auto"/>
        <w:ind w:firstLine="0" w:firstLineChars="0"/>
        <w:jc w:val="left"/>
        <w:textAlignment w:val="baseline"/>
        <w:outlineLvl w:val="2"/>
        <w:rPr>
          <w:rFonts w:hint="default" w:ascii="Times New Roman" w:hAnsi="Times New Roman" w:eastAsia="宋体" w:cs="Arial"/>
          <w:b/>
          <w:snapToGrid w:val="0"/>
          <w:color w:val="auto"/>
          <w:kern w:val="0"/>
          <w:sz w:val="28"/>
          <w:szCs w:val="21"/>
          <w:lang w:val="en-US" w:eastAsia="zh-CN"/>
        </w:rPr>
      </w:pPr>
      <w:bookmarkStart w:id="105" w:name="_Toc9030"/>
      <w:r>
        <w:rPr>
          <w:rFonts w:hint="default" w:ascii="Times New Roman" w:hAnsi="Times New Roman" w:eastAsia="宋体" w:cs="Arial"/>
          <w:b/>
          <w:snapToGrid w:val="0"/>
          <w:color w:val="auto"/>
          <w:kern w:val="0"/>
          <w:sz w:val="28"/>
          <w:szCs w:val="21"/>
          <w:lang w:val="en-US" w:eastAsia="zh-CN"/>
        </w:rPr>
        <w:t>9.</w:t>
      </w:r>
      <w:r>
        <w:rPr>
          <w:rFonts w:hint="eastAsia" w:ascii="Times New Roman" w:hAnsi="Times New Roman" w:eastAsia="宋体" w:cs="Arial"/>
          <w:b/>
          <w:snapToGrid w:val="0"/>
          <w:color w:val="auto"/>
          <w:kern w:val="0"/>
          <w:sz w:val="28"/>
          <w:szCs w:val="21"/>
          <w:lang w:val="en-US" w:eastAsia="zh-CN"/>
        </w:rPr>
        <w:t>3</w:t>
      </w:r>
      <w:r>
        <w:rPr>
          <w:rFonts w:hint="default" w:ascii="Times New Roman" w:hAnsi="Times New Roman" w:eastAsia="宋体" w:cs="Arial"/>
          <w:b/>
          <w:snapToGrid w:val="0"/>
          <w:color w:val="auto"/>
          <w:kern w:val="0"/>
          <w:sz w:val="28"/>
          <w:szCs w:val="21"/>
          <w:lang w:val="en-US" w:eastAsia="zh-CN"/>
        </w:rPr>
        <w:t>.2 信息化建设平台</w:t>
      </w:r>
      <w:bookmarkEnd w:id="105"/>
    </w:p>
    <w:p w14:paraId="4B77222C">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信息管理体系的主要建设内容包括</w:t>
      </w:r>
      <w:r>
        <w:rPr>
          <w:rFonts w:hint="eastAsia" w:ascii="Times New Roman" w:hAnsi="Times New Roman" w:eastAsia="宋体"/>
          <w:color w:val="auto"/>
          <w:lang w:val="en-US" w:eastAsia="zh-CN"/>
        </w:rPr>
        <w:t>：</w:t>
      </w:r>
    </w:p>
    <w:p w14:paraId="1E2A7AC0">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w:t>
      </w:r>
      <w:r>
        <w:rPr>
          <w:rFonts w:hint="default" w:ascii="Times New Roman" w:hAnsi="Times New Roman" w:eastAsia="宋体"/>
          <w:color w:val="auto"/>
          <w:lang w:val="en-US" w:eastAsia="zh-CN"/>
        </w:rPr>
        <w:t>平台门户网站。平台门户网站是信息平台的对外窗口，是登录信息平台的入口，是对外发布公共信息的重要通道。主要功能模块包括</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平台介绍、组织机构、专家介绍、工作动态、通知公告政策法规、公告公示、产品信息、联系方式等。</w:t>
      </w:r>
    </w:p>
    <w:p w14:paraId="37526859">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（2）</w:t>
      </w:r>
      <w:r>
        <w:rPr>
          <w:rFonts w:hint="default" w:ascii="Times New Roman" w:hAnsi="Times New Roman" w:eastAsia="宋体"/>
          <w:color w:val="auto"/>
          <w:lang w:val="en-US" w:eastAsia="zh-CN"/>
        </w:rPr>
        <w:t>审批备案系统。主要包括</w:t>
      </w:r>
      <w:r>
        <w:rPr>
          <w:rFonts w:hint="eastAsia" w:ascii="Times New Roman" w:hAnsi="Times New Roman" w:eastAsia="宋体"/>
          <w:color w:val="auto"/>
          <w:lang w:val="en-US" w:eastAsia="zh-CN"/>
        </w:rPr>
        <w:t>：</w:t>
      </w:r>
      <w:r>
        <w:rPr>
          <w:rFonts w:hint="eastAsia"/>
          <w:color w:val="auto"/>
          <w:lang w:val="en-US" w:eastAsia="zh-CN"/>
        </w:rPr>
        <w:t>产生</w:t>
      </w:r>
      <w:r>
        <w:rPr>
          <w:rFonts w:hint="default" w:ascii="Times New Roman" w:hAnsi="Times New Roman" w:eastAsia="宋体"/>
          <w:color w:val="auto"/>
          <w:lang w:val="en-US" w:eastAsia="zh-CN"/>
        </w:rPr>
        <w:t>项目备案</w:t>
      </w:r>
      <w:r>
        <w:rPr>
          <w:rFonts w:hint="eastAsia"/>
          <w:color w:val="auto"/>
          <w:lang w:val="en-US" w:eastAsia="zh-CN"/>
        </w:rPr>
        <w:t>、</w:t>
      </w:r>
      <w:r>
        <w:rPr>
          <w:rFonts w:hint="default" w:ascii="Times New Roman" w:hAnsi="Times New Roman" w:eastAsia="宋体"/>
          <w:color w:val="auto"/>
          <w:lang w:val="en-US" w:eastAsia="zh-CN"/>
        </w:rPr>
        <w:t>运输单位备案、</w:t>
      </w:r>
      <w:r>
        <w:rPr>
          <w:rFonts w:hint="eastAsia"/>
          <w:color w:val="auto"/>
          <w:lang w:val="en-US" w:eastAsia="zh-CN"/>
        </w:rPr>
        <w:t>处置</w:t>
      </w:r>
      <w:r>
        <w:rPr>
          <w:rFonts w:hint="default" w:ascii="Times New Roman" w:hAnsi="Times New Roman" w:eastAsia="宋体"/>
          <w:color w:val="auto"/>
          <w:lang w:val="en-US" w:eastAsia="zh-CN"/>
        </w:rPr>
        <w:t>单位备案等。</w:t>
      </w:r>
    </w:p>
    <w:p w14:paraId="7F2AF24E">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（3）</w:t>
      </w:r>
      <w:r>
        <w:rPr>
          <w:rFonts w:hint="default" w:ascii="Times New Roman" w:hAnsi="Times New Roman" w:eastAsia="宋体"/>
          <w:color w:val="auto"/>
          <w:lang w:val="en-US" w:eastAsia="zh-CN"/>
        </w:rPr>
        <w:t>远程视频监管系统。主要包括</w:t>
      </w:r>
      <w:r>
        <w:rPr>
          <w:rFonts w:hint="eastAsia" w:ascii="Times New Roman" w:hAnsi="Times New Roman" w:eastAsia="宋体"/>
          <w:color w:val="auto"/>
          <w:lang w:val="en-US" w:eastAsia="zh-CN"/>
        </w:rPr>
        <w:t>：</w:t>
      </w:r>
      <w:r>
        <w:rPr>
          <w:rFonts w:hint="eastAsia"/>
          <w:color w:val="auto"/>
          <w:lang w:val="en-US" w:eastAsia="zh-CN"/>
        </w:rPr>
        <w:t>产生</w:t>
      </w:r>
      <w:r>
        <w:rPr>
          <w:rFonts w:hint="default" w:ascii="Times New Roman" w:hAnsi="Times New Roman" w:eastAsia="宋体"/>
          <w:color w:val="auto"/>
          <w:lang w:val="en-US" w:eastAsia="zh-CN"/>
        </w:rPr>
        <w:t>排放现场远程视频设备、运输车辆远程视频设备、处置单位生产区视频设备等。</w:t>
      </w:r>
    </w:p>
    <w:p w14:paraId="1A76FC30">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（4）</w:t>
      </w:r>
      <w:r>
        <w:rPr>
          <w:rFonts w:hint="default" w:ascii="Times New Roman" w:hAnsi="Times New Roman" w:eastAsia="宋体"/>
          <w:color w:val="auto"/>
          <w:lang w:val="en-US" w:eastAsia="zh-CN"/>
        </w:rPr>
        <w:t>车辆跟踪监控系统。运输车辆集成北斗/GPS全球卫星定位技术、移动通信技术，实现实时位置监控、远程图像监控、道路区域监控、碰撞侧翻报警、行驶数据记录等功能。</w:t>
      </w:r>
    </w:p>
    <w:p w14:paraId="599BDF41">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（5）</w:t>
      </w:r>
      <w:r>
        <w:rPr>
          <w:rFonts w:hint="default" w:ascii="Times New Roman" w:hAnsi="Times New Roman" w:eastAsia="宋体"/>
          <w:color w:val="auto"/>
          <w:lang w:val="en-US" w:eastAsia="zh-CN"/>
        </w:rPr>
        <w:t>处理过程远程监控系统。采用</w:t>
      </w:r>
      <w:r>
        <w:rPr>
          <w:rFonts w:hint="eastAsia" w:ascii="Times New Roman" w:hAnsi="Times New Roman" w:eastAsia="宋体"/>
          <w:color w:val="auto"/>
          <w:lang w:val="en-US" w:eastAsia="zh-CN"/>
        </w:rPr>
        <w:t>平台</w:t>
      </w:r>
      <w:r>
        <w:rPr>
          <w:rFonts w:hint="default" w:ascii="Times New Roman" w:hAnsi="Times New Roman" w:eastAsia="宋体"/>
          <w:color w:val="auto"/>
          <w:lang w:val="en-US" w:eastAsia="zh-CN"/>
        </w:rPr>
        <w:t>对处理过程的上料、分类、破碎、筛选、包装等过程全面监控，监控信息同时上传信息平台。</w:t>
      </w:r>
    </w:p>
    <w:p w14:paraId="383640DA">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（6）</w:t>
      </w:r>
      <w:r>
        <w:rPr>
          <w:rFonts w:hint="default" w:ascii="Times New Roman" w:hAnsi="Times New Roman" w:eastAsia="宋体"/>
          <w:color w:val="auto"/>
          <w:lang w:val="en-US" w:eastAsia="zh-CN"/>
        </w:rPr>
        <w:t>计量系统。主要包括</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排放现场</w:t>
      </w:r>
      <w:r>
        <w:rPr>
          <w:rFonts w:hint="eastAsia" w:ascii="Times New Roman" w:hAnsi="Times New Roman" w:eastAsia="宋体"/>
          <w:color w:val="auto"/>
          <w:lang w:val="en-US" w:eastAsia="zh-CN"/>
        </w:rPr>
        <w:t>出厂</w:t>
      </w:r>
      <w:r>
        <w:rPr>
          <w:rFonts w:hint="default" w:ascii="Times New Roman" w:hAnsi="Times New Roman" w:eastAsia="宋体"/>
          <w:color w:val="auto"/>
          <w:lang w:val="en-US" w:eastAsia="zh-CN"/>
        </w:rPr>
        <w:t>计量装置、</w:t>
      </w:r>
      <w:r>
        <w:rPr>
          <w:rFonts w:hint="eastAsia" w:ascii="Times New Roman" w:hAnsi="Times New Roman" w:eastAsia="宋体"/>
          <w:color w:val="auto"/>
          <w:lang w:val="en-US" w:eastAsia="zh-CN"/>
        </w:rPr>
        <w:t>处置</w:t>
      </w:r>
      <w:r>
        <w:rPr>
          <w:rFonts w:hint="default" w:ascii="Times New Roman" w:hAnsi="Times New Roman" w:eastAsia="宋体"/>
          <w:color w:val="auto"/>
          <w:lang w:val="en-US" w:eastAsia="zh-CN"/>
        </w:rPr>
        <w:t>单位进出厂计量装置。</w:t>
      </w:r>
    </w:p>
    <w:p w14:paraId="7094D099">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（7）</w:t>
      </w:r>
      <w:r>
        <w:rPr>
          <w:rFonts w:hint="default" w:ascii="Times New Roman" w:hAnsi="Times New Roman" w:eastAsia="宋体"/>
          <w:color w:val="auto"/>
          <w:lang w:val="en-US" w:eastAsia="zh-CN"/>
        </w:rPr>
        <w:t>商务管理系统。主要包括</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拆除合同管理模块、运输合同管理模块、处理合同管理模块及产品信息发布块等。</w:t>
      </w:r>
    </w:p>
    <w:p w14:paraId="09B8F9BE">
      <w:pPr>
        <w:bidi w:val="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（8）</w:t>
      </w:r>
      <w:r>
        <w:rPr>
          <w:rFonts w:hint="default" w:ascii="Times New Roman" w:hAnsi="Times New Roman" w:eastAsia="宋体"/>
          <w:color w:val="auto"/>
          <w:lang w:val="en-US" w:eastAsia="zh-CN"/>
        </w:rPr>
        <w:t>环境监控系统。为了掌握拆除、处理过程对环境的影响</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需要在拆除工地、处理工厂</w:t>
      </w:r>
      <w:r>
        <w:rPr>
          <w:rFonts w:hint="eastAsia" w:ascii="Times New Roman" w:hAnsi="Times New Roman" w:eastAsia="宋体"/>
          <w:color w:val="auto"/>
          <w:lang w:val="en-US" w:eastAsia="zh-CN"/>
        </w:rPr>
        <w:t>安装环境监控系统</w:t>
      </w:r>
      <w:r>
        <w:rPr>
          <w:rFonts w:hint="default" w:ascii="Times New Roman" w:hAnsi="Times New Roman" w:eastAsia="宋体"/>
          <w:color w:val="auto"/>
          <w:lang w:val="en-US" w:eastAsia="zh-CN"/>
        </w:rPr>
        <w:t>。</w:t>
      </w:r>
    </w:p>
    <w:p w14:paraId="4725BC59">
      <w:pPr>
        <w:pStyle w:val="3"/>
        <w:bidi w:val="0"/>
        <w:rPr>
          <w:rFonts w:hint="eastAsia"/>
          <w:color w:val="auto"/>
          <w:lang w:val="en-US" w:eastAsia="zh-CN"/>
        </w:rPr>
      </w:pPr>
      <w:bookmarkStart w:id="106" w:name="_Toc30807"/>
      <w:r>
        <w:rPr>
          <w:rFonts w:hint="eastAsia"/>
          <w:color w:val="auto"/>
          <w:lang w:val="en-US" w:eastAsia="zh-CN"/>
        </w:rPr>
        <w:t>9.4 突发应急预案</w:t>
      </w:r>
      <w:bookmarkEnd w:id="106"/>
    </w:p>
    <w:p w14:paraId="71E6CCE0">
      <w:pPr>
        <w:keepNext/>
        <w:keepLines/>
        <w:kinsoku w:val="0"/>
        <w:autoSpaceDE w:val="0"/>
        <w:autoSpaceDN w:val="0"/>
        <w:bidi w:val="0"/>
        <w:adjustRightInd w:val="0"/>
        <w:snapToGrid w:val="0"/>
        <w:spacing w:beforeAutospacing="0" w:afterAutospacing="0" w:line="360" w:lineRule="auto"/>
        <w:ind w:firstLine="0" w:firstLineChars="0"/>
        <w:jc w:val="left"/>
        <w:textAlignment w:val="baseline"/>
        <w:outlineLvl w:val="2"/>
        <w:rPr>
          <w:rFonts w:hint="eastAsia" w:ascii="Times New Roman" w:hAnsi="Times New Roman" w:eastAsia="宋体" w:cs="Arial"/>
          <w:b/>
          <w:snapToGrid w:val="0"/>
          <w:color w:val="auto"/>
          <w:kern w:val="0"/>
          <w:sz w:val="28"/>
          <w:szCs w:val="21"/>
          <w:lang w:val="en-US" w:eastAsia="zh-CN"/>
        </w:rPr>
      </w:pPr>
      <w:bookmarkStart w:id="107" w:name="_Toc32152"/>
      <w:r>
        <w:rPr>
          <w:rFonts w:hint="eastAsia" w:ascii="Times New Roman" w:hAnsi="Times New Roman" w:eastAsia="宋体" w:cs="Arial"/>
          <w:b/>
          <w:snapToGrid w:val="0"/>
          <w:color w:val="auto"/>
          <w:kern w:val="0"/>
          <w:sz w:val="28"/>
          <w:szCs w:val="21"/>
          <w:lang w:val="en-US" w:eastAsia="zh-CN"/>
        </w:rPr>
        <w:t>9.4.1 事前准备程序</w:t>
      </w:r>
      <w:bookmarkEnd w:id="107"/>
    </w:p>
    <w:p w14:paraId="3954497C">
      <w:pPr>
        <w:bidi w:val="0"/>
        <w:rPr>
          <w:rFonts w:hint="eastAsia" w:ascii="Times New Roman" w:hAnsi="Times New Roman" w:eastAsia="宋体"/>
          <w:color w:val="auto"/>
          <w:lang w:val="en-US" w:eastAsia="zh-CN"/>
        </w:rPr>
      </w:pPr>
      <w:r>
        <w:rPr>
          <w:rFonts w:hint="default" w:ascii="Times New Roman" w:hAnsi="Times New Roman" w:eastAsia="宋体"/>
          <w:color w:val="auto"/>
          <w:lang w:val="en-US" w:eastAsia="zh-CN"/>
        </w:rPr>
        <w:t>建立协调统一的应急机构，并配备专业应急队伍，研究制定详细的突发应急预案</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加大资金投入，配置专业装备，开展多层次应急培训，提高应急队伍的反应和处理能力</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加强应急物资储备，确保物资供应和后勤支援的及时有效</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明确应急经费的来源、使用范围及监督管理措施，确保经费及时到位，最大限度减少损失</w:t>
      </w:r>
      <w:r>
        <w:rPr>
          <w:rFonts w:hint="eastAsia" w:ascii="Times New Roman" w:hAnsi="Times New Roman" w:eastAsia="宋体"/>
          <w:color w:val="auto"/>
          <w:lang w:val="en-US" w:eastAsia="zh-CN"/>
        </w:rPr>
        <w:t>。</w:t>
      </w:r>
    </w:p>
    <w:p w14:paraId="1D9FED33">
      <w:pPr>
        <w:keepNext/>
        <w:keepLines/>
        <w:kinsoku w:val="0"/>
        <w:autoSpaceDE w:val="0"/>
        <w:autoSpaceDN w:val="0"/>
        <w:bidi w:val="0"/>
        <w:adjustRightInd w:val="0"/>
        <w:snapToGrid w:val="0"/>
        <w:spacing w:beforeAutospacing="0" w:afterAutospacing="0" w:line="360" w:lineRule="auto"/>
        <w:ind w:firstLine="0" w:firstLineChars="0"/>
        <w:jc w:val="left"/>
        <w:textAlignment w:val="baseline"/>
        <w:outlineLvl w:val="2"/>
        <w:rPr>
          <w:rFonts w:hint="eastAsia" w:ascii="Times New Roman" w:hAnsi="Times New Roman" w:eastAsia="宋体" w:cs="Arial"/>
          <w:b/>
          <w:snapToGrid w:val="0"/>
          <w:color w:val="auto"/>
          <w:kern w:val="0"/>
          <w:sz w:val="28"/>
          <w:szCs w:val="21"/>
          <w:lang w:val="en-US" w:eastAsia="zh-CN"/>
        </w:rPr>
      </w:pPr>
      <w:bookmarkStart w:id="108" w:name="_Toc21096"/>
      <w:r>
        <w:rPr>
          <w:rFonts w:hint="eastAsia" w:ascii="Times New Roman" w:hAnsi="Times New Roman" w:eastAsia="宋体" w:cs="Arial"/>
          <w:b/>
          <w:snapToGrid w:val="0"/>
          <w:color w:val="auto"/>
          <w:kern w:val="0"/>
          <w:sz w:val="28"/>
          <w:szCs w:val="21"/>
          <w:lang w:val="en-US" w:eastAsia="zh-CN"/>
        </w:rPr>
        <w:t>9.4.2 事中应对措施</w:t>
      </w:r>
      <w:bookmarkEnd w:id="108"/>
    </w:p>
    <w:p w14:paraId="5D2CB7B9">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遇到应急情况应迅速启动应急情况处置程序。首先，通知应急指挥部并迅速查明事故原因和范围</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接着组织、安排受威胁的人员能够迅速且安全地撤离，以避免二次伤害。同时，为防止建筑垃圾扩散，对事故现场进行临时封锁和限制通行，并采取必要措施保护现场。随后调动应急救援队伍进行人员救援和建筑垃圾清理工作，同时配备必要的防护设备，确保救援人员的安全。</w:t>
      </w:r>
    </w:p>
    <w:p w14:paraId="608A4391">
      <w:pPr>
        <w:keepNext/>
        <w:keepLines/>
        <w:kinsoku w:val="0"/>
        <w:autoSpaceDE w:val="0"/>
        <w:autoSpaceDN w:val="0"/>
        <w:bidi w:val="0"/>
        <w:adjustRightInd w:val="0"/>
        <w:snapToGrid w:val="0"/>
        <w:spacing w:beforeAutospacing="0" w:afterAutospacing="0" w:line="360" w:lineRule="auto"/>
        <w:ind w:firstLine="0" w:firstLineChars="0"/>
        <w:jc w:val="left"/>
        <w:textAlignment w:val="baseline"/>
        <w:outlineLvl w:val="2"/>
        <w:rPr>
          <w:rFonts w:hint="eastAsia" w:ascii="Times New Roman" w:hAnsi="Times New Roman" w:eastAsia="宋体" w:cs="Arial"/>
          <w:b/>
          <w:snapToGrid w:val="0"/>
          <w:color w:val="auto"/>
          <w:kern w:val="0"/>
          <w:sz w:val="28"/>
          <w:szCs w:val="21"/>
          <w:lang w:val="en-US" w:eastAsia="zh-CN"/>
        </w:rPr>
      </w:pPr>
      <w:bookmarkStart w:id="109" w:name="_Toc4202"/>
      <w:r>
        <w:rPr>
          <w:rFonts w:hint="eastAsia" w:ascii="Times New Roman" w:hAnsi="Times New Roman" w:eastAsia="宋体" w:cs="Arial"/>
          <w:b/>
          <w:snapToGrid w:val="0"/>
          <w:color w:val="auto"/>
          <w:kern w:val="0"/>
          <w:sz w:val="28"/>
          <w:szCs w:val="21"/>
          <w:lang w:val="en-US" w:eastAsia="zh-CN"/>
        </w:rPr>
        <w:t>9.4.3 事后恢复流程</w:t>
      </w:r>
      <w:bookmarkEnd w:id="109"/>
    </w:p>
    <w:p w14:paraId="549E6466">
      <w:pPr>
        <w:bidi w:val="0"/>
        <w:rPr>
          <w:rFonts w:hint="eastAsia" w:ascii="Times New Roman" w:hAnsi="Times New Roman" w:eastAsia="宋体"/>
          <w:color w:val="auto"/>
          <w:lang w:val="en-US" w:eastAsia="zh-CN"/>
        </w:rPr>
      </w:pPr>
      <w:r>
        <w:rPr>
          <w:rFonts w:hint="default" w:ascii="Times New Roman" w:hAnsi="Times New Roman" w:eastAsia="宋体"/>
          <w:color w:val="auto"/>
          <w:lang w:val="en-US" w:eastAsia="zh-CN"/>
        </w:rPr>
        <w:t>成立专业调查组，对事故原因进行深入调查和分析，总结经验教训，提出改进措施，以避免类似事故再次发生</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依法征用单位或者个人的物资用于应急救援工作，应按照有关文件给予合理的补偿</w:t>
      </w:r>
      <w:r>
        <w:rPr>
          <w:rFonts w:hint="eastAsia" w:ascii="Times New Roman" w:hAnsi="Times New Roman" w:eastAsia="宋体"/>
          <w:color w:val="auto"/>
          <w:lang w:val="en-US" w:eastAsia="zh-CN"/>
        </w:rPr>
        <w:t>：</w:t>
      </w:r>
      <w:r>
        <w:rPr>
          <w:rFonts w:hint="default" w:ascii="Times New Roman" w:hAnsi="Times New Roman" w:eastAsia="宋体"/>
          <w:color w:val="auto"/>
          <w:lang w:val="en-US" w:eastAsia="zh-CN"/>
        </w:rPr>
        <w:t>对受损设施进行及时修复和恢复工作，确保相关设施能够正常使用</w:t>
      </w:r>
      <w:r>
        <w:rPr>
          <w:rFonts w:hint="eastAsia" w:ascii="Times New Roman" w:hAnsi="Times New Roman" w:eastAsia="宋体"/>
          <w:color w:val="auto"/>
          <w:lang w:val="en-US" w:eastAsia="zh-CN"/>
        </w:rPr>
        <w:t>。</w:t>
      </w:r>
    </w:p>
    <w:p w14:paraId="2020F35A">
      <w:pP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br w:type="page"/>
      </w:r>
    </w:p>
    <w:p w14:paraId="70064FB0">
      <w:pPr>
        <w:pStyle w:val="2"/>
        <w:bidi w:val="0"/>
        <w:jc w:val="center"/>
        <w:rPr>
          <w:rFonts w:hint="eastAsia"/>
          <w:color w:val="auto"/>
          <w:lang w:val="en-US" w:eastAsia="zh-CN"/>
        </w:rPr>
      </w:pPr>
      <w:bookmarkStart w:id="110" w:name="_Toc8831"/>
      <w:r>
        <w:rPr>
          <w:rFonts w:hint="eastAsia"/>
          <w:color w:val="auto"/>
          <w:lang w:val="en-US" w:eastAsia="zh-CN"/>
        </w:rPr>
        <w:t>第十章 建筑垃圾资源化利用产业发展规划</w:t>
      </w:r>
      <w:bookmarkEnd w:id="110"/>
    </w:p>
    <w:p w14:paraId="41BB1173">
      <w:pPr>
        <w:pStyle w:val="3"/>
        <w:bidi w:val="0"/>
        <w:rPr>
          <w:rFonts w:hint="eastAsia"/>
          <w:color w:val="auto"/>
          <w:lang w:val="en-US" w:eastAsia="zh-CN"/>
        </w:rPr>
      </w:pPr>
      <w:bookmarkStart w:id="111" w:name="_Toc17311"/>
      <w:r>
        <w:rPr>
          <w:rFonts w:hint="eastAsia"/>
          <w:color w:val="auto"/>
          <w:lang w:val="en-US" w:eastAsia="zh-CN"/>
        </w:rPr>
        <w:t>10.1 规划目标</w:t>
      </w:r>
      <w:bookmarkEnd w:id="111"/>
    </w:p>
    <w:p w14:paraId="13D560E8">
      <w:pPr>
        <w:bidi w:val="0"/>
        <w:rPr>
          <w:rFonts w:hint="default"/>
          <w:color w:val="auto"/>
          <w:lang w:val="en-US" w:eastAsia="zh-CN"/>
        </w:rPr>
      </w:pPr>
      <w:r>
        <w:rPr>
          <w:rFonts w:hint="default"/>
          <w:color w:val="auto"/>
          <w:lang w:val="en-US" w:eastAsia="zh-CN"/>
        </w:rPr>
        <w:t>加快构建与</w:t>
      </w:r>
      <w:r>
        <w:rPr>
          <w:rFonts w:hint="eastAsia"/>
          <w:color w:val="auto"/>
          <w:lang w:val="en-US" w:eastAsia="zh-CN"/>
        </w:rPr>
        <w:t>本溪市</w:t>
      </w:r>
      <w:r>
        <w:rPr>
          <w:rFonts w:hint="default"/>
          <w:color w:val="auto"/>
          <w:lang w:val="en-US" w:eastAsia="zh-CN"/>
        </w:rPr>
        <w:t>发展相匹配的建筑垃圾</w:t>
      </w:r>
      <w:r>
        <w:rPr>
          <w:rFonts w:hint="eastAsia"/>
          <w:color w:val="auto"/>
          <w:lang w:val="en-US" w:eastAsia="zh-CN"/>
        </w:rPr>
        <w:t>转运调配设施及</w:t>
      </w:r>
      <w:r>
        <w:rPr>
          <w:rFonts w:hint="default"/>
          <w:color w:val="auto"/>
          <w:lang w:val="en-US" w:eastAsia="zh-CN"/>
        </w:rPr>
        <w:t>资源化利用产业体系，高水平推进资源化利用项目建设运营，加强市场主体培育、提升技术工艺，到203</w:t>
      </w:r>
      <w:r>
        <w:rPr>
          <w:rFonts w:hint="eastAsia"/>
          <w:color w:val="auto"/>
          <w:lang w:val="en-US" w:eastAsia="zh-CN"/>
        </w:rPr>
        <w:t>0</w:t>
      </w:r>
      <w:r>
        <w:rPr>
          <w:rFonts w:hint="default"/>
          <w:color w:val="auto"/>
          <w:lang w:val="en-US" w:eastAsia="zh-CN"/>
        </w:rPr>
        <w:t>年</w:t>
      </w:r>
      <w:r>
        <w:rPr>
          <w:rFonts w:hint="eastAsia"/>
          <w:color w:val="auto"/>
          <w:lang w:val="en-US" w:eastAsia="zh-CN"/>
        </w:rPr>
        <w:t>本溪市</w:t>
      </w:r>
      <w:r>
        <w:rPr>
          <w:rFonts w:hint="default"/>
          <w:color w:val="auto"/>
          <w:lang w:val="en-US" w:eastAsia="zh-CN"/>
        </w:rPr>
        <w:t>建筑垃圾</w:t>
      </w:r>
      <w:r>
        <w:rPr>
          <w:rFonts w:hint="eastAsia"/>
          <w:color w:val="auto"/>
          <w:lang w:val="en-US" w:eastAsia="zh-CN"/>
        </w:rPr>
        <w:t>资源化</w:t>
      </w:r>
      <w:r>
        <w:rPr>
          <w:rFonts w:hint="default"/>
          <w:color w:val="auto"/>
          <w:lang w:val="en-US" w:eastAsia="zh-CN"/>
        </w:rPr>
        <w:t>利用率达到</w:t>
      </w:r>
      <w:r>
        <w:rPr>
          <w:rFonts w:hint="eastAsia"/>
          <w:color w:val="auto"/>
          <w:lang w:val="en-US" w:eastAsia="zh-CN"/>
        </w:rPr>
        <w:t>6</w:t>
      </w:r>
      <w:r>
        <w:rPr>
          <w:rFonts w:hint="default"/>
          <w:color w:val="auto"/>
          <w:lang w:val="en-US" w:eastAsia="zh-CN"/>
        </w:rPr>
        <w:t>0%。</w:t>
      </w:r>
    </w:p>
    <w:p w14:paraId="3856482C">
      <w:pPr>
        <w:pStyle w:val="3"/>
        <w:bidi w:val="0"/>
        <w:rPr>
          <w:rFonts w:hint="eastAsia"/>
          <w:color w:val="auto"/>
          <w:lang w:val="en-US" w:eastAsia="zh-CN"/>
        </w:rPr>
      </w:pPr>
      <w:bookmarkStart w:id="112" w:name="_Toc26388"/>
      <w:r>
        <w:rPr>
          <w:rFonts w:hint="eastAsia"/>
          <w:color w:val="auto"/>
          <w:lang w:val="en-US" w:eastAsia="zh-CN"/>
        </w:rPr>
        <w:t>10.2 产业发展重点</w:t>
      </w:r>
      <w:bookmarkEnd w:id="112"/>
    </w:p>
    <w:p w14:paraId="0908B2B6">
      <w:pPr>
        <w:pStyle w:val="4"/>
        <w:bidi w:val="0"/>
        <w:rPr>
          <w:rFonts w:hint="eastAsia"/>
          <w:color w:val="auto"/>
          <w:lang w:val="en-US" w:eastAsia="zh-CN"/>
        </w:rPr>
      </w:pPr>
      <w:bookmarkStart w:id="113" w:name="_Toc358"/>
      <w:r>
        <w:rPr>
          <w:rFonts w:hint="eastAsia"/>
          <w:color w:val="auto"/>
          <w:lang w:val="en-US" w:eastAsia="zh-CN"/>
        </w:rPr>
        <w:t>10.2.1 构建全链条资源化利用体系</w:t>
      </w:r>
      <w:bookmarkEnd w:id="113"/>
    </w:p>
    <w:p w14:paraId="412DF891">
      <w:pPr>
        <w:bidi w:val="0"/>
        <w:rPr>
          <w:rFonts w:hint="eastAsia"/>
          <w:color w:val="auto"/>
          <w:lang w:val="en-US" w:eastAsia="zh-CN"/>
        </w:rPr>
      </w:pPr>
      <w:r>
        <w:rPr>
          <w:rFonts w:hint="eastAsia"/>
          <w:color w:val="auto"/>
          <w:lang w:val="en-US" w:eastAsia="zh-CN"/>
        </w:rPr>
        <w:t>建筑垃圾资源化利用产业发展的首要重点是构建从源头减量、运输控制到末端利用的全链条资源化利用体系。这涉及建筑垃圾的产生、收集、分类、运输、处理和再生利用的每一个环节。需要制定严格的建筑垃圾管理规范，推广绿色建筑和施工技术，减少建筑垃圾的产生。同时，建立高效的分类收集系统，提高建筑垃圾的分类纯度，为后续资源化利用打下基础。此外，应发展先进的建筑垃圾处理技术，提高资源化率和再生产品质量。最终，通过建立完善的市场机制，推动再生产品在建筑、市政、交通等领域的应用，形成闭环的资源化利用模式。</w:t>
      </w:r>
    </w:p>
    <w:p w14:paraId="27960A93">
      <w:pPr>
        <w:pStyle w:val="4"/>
        <w:bidi w:val="0"/>
        <w:rPr>
          <w:rFonts w:hint="eastAsia"/>
          <w:color w:val="auto"/>
          <w:lang w:val="en-US" w:eastAsia="zh-CN"/>
        </w:rPr>
      </w:pPr>
      <w:bookmarkStart w:id="114" w:name="_Toc6345"/>
      <w:r>
        <w:rPr>
          <w:rFonts w:hint="eastAsia"/>
          <w:color w:val="auto"/>
          <w:lang w:val="en-US" w:eastAsia="zh-CN"/>
        </w:rPr>
        <w:t>10.2.2 加强技术研发与创新驱动</w:t>
      </w:r>
      <w:bookmarkEnd w:id="114"/>
    </w:p>
    <w:p w14:paraId="3625AE7B">
      <w:pPr>
        <w:bidi w:val="0"/>
        <w:rPr>
          <w:rFonts w:hint="eastAsia"/>
          <w:color w:val="auto"/>
          <w:lang w:val="en-US" w:eastAsia="zh-CN"/>
        </w:rPr>
      </w:pPr>
      <w:r>
        <w:rPr>
          <w:rFonts w:hint="eastAsia"/>
          <w:color w:val="auto"/>
          <w:lang w:val="en-US" w:eastAsia="zh-CN"/>
        </w:rPr>
        <w:t>技术创新是推动建筑垃圾资源化利用产业发展的核心动力。应加大对建筑垃圾处理和再生利用技术的研发投入，鼓励产学研用相结合，促进技术成果的转化和应用。重点研发方向包括：高效节能的建筑垃圾破碎技术、智能分选技术、再生骨料的优化配比技术、再生建材的高性能化技术等。同时，应关注国内外建筑垃圾资源化利用的最新动态和技术进展，引进消化吸收再创新，提升产业技术水平。此外，还应加强建筑垃圾资源化利用的基础研究，如再生材料的环境影响评估、生命周期评价等，为产业的可持续发展提供科学依据。</w:t>
      </w:r>
    </w:p>
    <w:p w14:paraId="73B067BB">
      <w:pPr>
        <w:pStyle w:val="4"/>
        <w:bidi w:val="0"/>
        <w:rPr>
          <w:rFonts w:hint="eastAsia"/>
          <w:color w:val="auto"/>
          <w:lang w:val="en-US" w:eastAsia="zh-CN"/>
        </w:rPr>
      </w:pPr>
      <w:bookmarkStart w:id="115" w:name="_Toc582"/>
      <w:r>
        <w:rPr>
          <w:rFonts w:hint="eastAsia"/>
          <w:color w:val="auto"/>
          <w:lang w:val="en-US" w:eastAsia="zh-CN"/>
        </w:rPr>
        <w:t>10.2.3 完善政策支持与法规体系</w:t>
      </w:r>
      <w:bookmarkEnd w:id="115"/>
    </w:p>
    <w:p w14:paraId="07927431">
      <w:pPr>
        <w:bidi w:val="0"/>
        <w:rPr>
          <w:rFonts w:hint="default"/>
          <w:color w:val="auto"/>
          <w:lang w:val="en-US" w:eastAsia="zh-CN"/>
        </w:rPr>
      </w:pPr>
      <w:r>
        <w:rPr>
          <w:rFonts w:hint="default"/>
          <w:color w:val="auto"/>
          <w:lang w:val="en-US" w:eastAsia="zh-CN"/>
        </w:rPr>
        <w:t>政策支持和法规体系的完善是建筑垃圾资源化利用产业发展的重要保障。政府应出台一系列扶持政策，如税收优惠、财政补贴、绿色信贷等，降低企业的运营成本，提高产业的吸引力。同时，应制定和完善建筑垃圾管理的相关法规和标准，明确建筑垃圾产生者、处理者和利用者的责任和义务，规范市场行为。此外，还应加强建筑垃圾资源化利用的监管力度，建立健全的监管体系，确保资源化利用的合法性、合规性和有效性。通过政策引导和法规约束，营造公平竞争的市场环境，促进产业健康有序发展。</w:t>
      </w:r>
    </w:p>
    <w:p w14:paraId="18BE967F">
      <w:pPr>
        <w:pStyle w:val="4"/>
        <w:bidi w:val="0"/>
        <w:rPr>
          <w:rFonts w:hint="default"/>
          <w:color w:val="auto"/>
          <w:lang w:val="en-US" w:eastAsia="zh-CN"/>
        </w:rPr>
      </w:pPr>
      <w:bookmarkStart w:id="116" w:name="_Toc20176"/>
      <w:r>
        <w:rPr>
          <w:rFonts w:hint="eastAsia"/>
          <w:color w:val="auto"/>
          <w:lang w:val="en-US" w:eastAsia="zh-CN"/>
        </w:rPr>
        <w:t>10.2.4 推动产业融合与区域协同</w:t>
      </w:r>
      <w:bookmarkEnd w:id="116"/>
    </w:p>
    <w:p w14:paraId="19CFA9E6">
      <w:pPr>
        <w:bidi w:val="0"/>
        <w:rPr>
          <w:rFonts w:hint="default"/>
          <w:color w:val="auto"/>
          <w:lang w:val="en-US" w:eastAsia="zh-CN"/>
        </w:rPr>
      </w:pPr>
      <w:r>
        <w:rPr>
          <w:rFonts w:hint="default"/>
          <w:color w:val="auto"/>
          <w:lang w:val="en-US" w:eastAsia="zh-CN"/>
        </w:rPr>
        <w:t>建筑垃圾资源化利用产业的发展需要与上下游产业、相关行业以及区域经济的深度融合和协同发展。应加强与建材、建筑、市政、交通等行业的合作，推动建筑垃圾资源化利用与这些行业的融合发展，形成产业链上下游的良性互动。同时，应发挥区域优势，推动区域间的资源共享和产业协同，形成区域性的建筑垃圾资源化利用产业集群。此外，还应加强国际交流与合作，引进国外先进的技术和管理经验，提升国内产业的国际竞争力。通过产业融合和区域协同，实现资源共享、优势互补，提升产业的整体竞争力和可持续发展能力。</w:t>
      </w:r>
    </w:p>
    <w:p w14:paraId="6AB21C1D">
      <w:pPr>
        <w:pStyle w:val="3"/>
        <w:bidi w:val="0"/>
        <w:rPr>
          <w:rFonts w:hint="default"/>
          <w:color w:val="auto"/>
          <w:lang w:val="en-US" w:eastAsia="zh-CN"/>
        </w:rPr>
      </w:pPr>
      <w:bookmarkStart w:id="117" w:name="_Toc18017"/>
      <w:r>
        <w:rPr>
          <w:rFonts w:hint="eastAsia"/>
          <w:color w:val="auto"/>
          <w:lang w:val="en-US" w:eastAsia="zh-CN"/>
        </w:rPr>
        <w:t>10.3 产品质量控制</w:t>
      </w:r>
      <w:bookmarkEnd w:id="117"/>
    </w:p>
    <w:p w14:paraId="5046B536">
      <w:pPr>
        <w:pStyle w:val="4"/>
        <w:bidi w:val="0"/>
        <w:rPr>
          <w:rFonts w:hint="eastAsia"/>
          <w:color w:val="auto"/>
          <w:lang w:val="en-US" w:eastAsia="zh-CN"/>
        </w:rPr>
      </w:pPr>
      <w:bookmarkStart w:id="118" w:name="_Toc8080"/>
      <w:r>
        <w:rPr>
          <w:rFonts w:hint="eastAsia"/>
          <w:color w:val="auto"/>
          <w:lang w:val="en-US" w:eastAsia="zh-CN"/>
        </w:rPr>
        <w:t>10.3.1 实施全过程质量监控</w:t>
      </w:r>
      <w:bookmarkEnd w:id="118"/>
      <w:r>
        <w:rPr>
          <w:rFonts w:hint="eastAsia"/>
          <w:color w:val="auto"/>
          <w:lang w:val="en-US" w:eastAsia="zh-CN"/>
        </w:rPr>
        <w:t xml:space="preserve"> </w:t>
      </w:r>
    </w:p>
    <w:p w14:paraId="65DB98BE">
      <w:pPr>
        <w:bidi w:val="0"/>
        <w:rPr>
          <w:rFonts w:hint="default"/>
          <w:color w:val="auto"/>
          <w:lang w:val="en-US" w:eastAsia="zh-CN"/>
        </w:rPr>
      </w:pPr>
      <w:r>
        <w:rPr>
          <w:rFonts w:hint="default"/>
          <w:color w:val="auto"/>
          <w:lang w:val="en-US" w:eastAsia="zh-CN"/>
        </w:rPr>
        <w:t>实施全过程的质量监控。从</w:t>
      </w:r>
      <w:r>
        <w:rPr>
          <w:rFonts w:hint="eastAsia"/>
          <w:color w:val="auto"/>
          <w:lang w:val="en-US" w:eastAsia="zh-CN"/>
        </w:rPr>
        <w:t>建筑垃圾</w:t>
      </w:r>
      <w:r>
        <w:rPr>
          <w:rFonts w:hint="default"/>
          <w:color w:val="auto"/>
          <w:lang w:val="en-US" w:eastAsia="zh-CN"/>
        </w:rPr>
        <w:t>的收集和分类开始，就应进行严格的质量检查，确保</w:t>
      </w:r>
      <w:r>
        <w:rPr>
          <w:rFonts w:hint="eastAsia"/>
          <w:color w:val="auto"/>
          <w:lang w:val="en-US" w:eastAsia="zh-CN"/>
        </w:rPr>
        <w:t>没有其他垃圾，如生活垃圾、有害垃圾等混入建筑垃圾中</w:t>
      </w:r>
      <w:r>
        <w:rPr>
          <w:rFonts w:hint="default"/>
          <w:color w:val="auto"/>
          <w:lang w:val="en-US" w:eastAsia="zh-CN"/>
        </w:rPr>
        <w:t>。在生产过程中，应采用自动化、智能化的监控设备，实时监测生产参数，确保生产过程的稳定性和可控性。对于关键工艺环节，如破碎、分选</w:t>
      </w:r>
      <w:r>
        <w:rPr>
          <w:rFonts w:hint="eastAsia"/>
          <w:color w:val="auto"/>
          <w:lang w:val="en-US" w:eastAsia="zh-CN"/>
        </w:rPr>
        <w:t>、制作成品</w:t>
      </w:r>
      <w:r>
        <w:rPr>
          <w:rFonts w:hint="default"/>
          <w:color w:val="auto"/>
          <w:lang w:val="en-US" w:eastAsia="zh-CN"/>
        </w:rPr>
        <w:t>等，应设置质量控制点，进行重点监控。在成品检验环节，应采用先进的检测设备和方法，对产品的各项性能指标进行全面检测，确保产品符合质量标准。同时，应建立完善的质量追溯体系，对不合格产品进行追踪和分析，找出问题原因，及时进行整改。</w:t>
      </w:r>
    </w:p>
    <w:p w14:paraId="46EB8203">
      <w:pPr>
        <w:pStyle w:val="4"/>
        <w:bidi w:val="0"/>
        <w:rPr>
          <w:rFonts w:hint="eastAsia"/>
          <w:color w:val="auto"/>
          <w:lang w:val="en-US" w:eastAsia="zh-CN"/>
        </w:rPr>
      </w:pPr>
      <w:bookmarkStart w:id="119" w:name="_Toc3596"/>
      <w:r>
        <w:rPr>
          <w:rFonts w:hint="eastAsia"/>
          <w:color w:val="auto"/>
          <w:lang w:val="en-US" w:eastAsia="zh-CN"/>
        </w:rPr>
        <w:t>10.3.2 加强技术研发和创新</w:t>
      </w:r>
      <w:bookmarkEnd w:id="119"/>
    </w:p>
    <w:p w14:paraId="0C91E53F">
      <w:pPr>
        <w:bidi w:val="0"/>
        <w:rPr>
          <w:rFonts w:hint="default"/>
          <w:color w:val="auto"/>
          <w:lang w:val="en-US" w:eastAsia="zh-CN"/>
        </w:rPr>
      </w:pPr>
      <w:r>
        <w:rPr>
          <w:rFonts w:hint="default"/>
          <w:color w:val="auto"/>
          <w:lang w:val="en-US" w:eastAsia="zh-CN"/>
        </w:rPr>
        <w:t>技术研发和创新是提高建筑垃圾资源化利用产品质量的关键。应加大对再生建材生产工艺、性能改进、应用技术等方面的研发力度，不断优化产品配方和生产工艺，提高产品的稳定性和可靠性。同时，应关注国内外建筑垃圾资源化利用领域的最新研究成果和技术动态，引进消化吸收再创新，提升产品质量。此外，还应加强与科研院所、高校的合作，开展产学研用一体化的技术研发，促进技术成果的转化和应用。通过技术创新，不断推出性能更优、应用更广的再生建材产品，满足市场和用户的需求。</w:t>
      </w:r>
    </w:p>
    <w:p w14:paraId="3A0197A8">
      <w:pPr>
        <w:pStyle w:val="3"/>
        <w:bidi w:val="0"/>
        <w:rPr>
          <w:rFonts w:hint="eastAsia"/>
          <w:color w:val="auto"/>
          <w:lang w:val="en-US" w:eastAsia="zh-CN"/>
        </w:rPr>
      </w:pPr>
      <w:bookmarkStart w:id="120" w:name="_Toc26479"/>
      <w:r>
        <w:rPr>
          <w:rFonts w:hint="eastAsia"/>
          <w:color w:val="auto"/>
          <w:lang w:val="en-US" w:eastAsia="zh-CN"/>
        </w:rPr>
        <w:t>10.4 产业支持策略</w:t>
      </w:r>
      <w:bookmarkEnd w:id="120"/>
    </w:p>
    <w:p w14:paraId="3FD8448D">
      <w:pPr>
        <w:pStyle w:val="4"/>
        <w:bidi w:val="0"/>
        <w:rPr>
          <w:rFonts w:hint="eastAsia"/>
          <w:color w:val="auto"/>
          <w:lang w:val="en-US" w:eastAsia="zh-CN"/>
        </w:rPr>
      </w:pPr>
      <w:bookmarkStart w:id="121" w:name="_Toc29678"/>
      <w:r>
        <w:rPr>
          <w:rFonts w:hint="eastAsia"/>
          <w:color w:val="auto"/>
          <w:lang w:val="en-US" w:eastAsia="zh-CN"/>
        </w:rPr>
        <w:t>10.4.1 政策激励与法规制定</w:t>
      </w:r>
      <w:bookmarkEnd w:id="121"/>
    </w:p>
    <w:p w14:paraId="3ED38E9A">
      <w:pPr>
        <w:bidi w:val="0"/>
        <w:rPr>
          <w:rFonts w:hint="default"/>
          <w:color w:val="auto"/>
          <w:lang w:val="en-US" w:eastAsia="zh-CN"/>
        </w:rPr>
      </w:pPr>
      <w:r>
        <w:rPr>
          <w:rFonts w:hint="default"/>
          <w:color w:val="auto"/>
          <w:lang w:val="en-US" w:eastAsia="zh-CN"/>
        </w:rPr>
        <w:t>制定一系列激励政策和法规，促进建筑垃圾资源化利用产业的发展。这包括提供税收减免、财政补贴、低息贷款等经济激励措施，降低企业的运营成本，提高产业的吸引力。同时，应制定建筑垃圾管理法规，明确建筑垃圾产生者、处理者和利用者的责任，规范市场行为，确保资源化利用的合法性和合规性。此外，还应建立绿色采购政策，优先采购符合标准的再生建材产品，为产业提供稳定的市场需求。</w:t>
      </w:r>
    </w:p>
    <w:p w14:paraId="2D686B14">
      <w:pPr>
        <w:pStyle w:val="4"/>
        <w:bidi w:val="0"/>
        <w:rPr>
          <w:rFonts w:hint="eastAsia"/>
          <w:color w:val="auto"/>
          <w:lang w:val="en-US" w:eastAsia="zh-CN"/>
        </w:rPr>
      </w:pPr>
      <w:bookmarkStart w:id="122" w:name="_Toc12010"/>
      <w:r>
        <w:rPr>
          <w:rFonts w:hint="eastAsia"/>
          <w:color w:val="auto"/>
          <w:lang w:val="en-US" w:eastAsia="zh-CN"/>
        </w:rPr>
        <w:t>10.4.2 技术研发与创新支持</w:t>
      </w:r>
      <w:bookmarkEnd w:id="122"/>
    </w:p>
    <w:p w14:paraId="20B386D1">
      <w:pPr>
        <w:bidi w:val="0"/>
        <w:rPr>
          <w:rFonts w:hint="default"/>
          <w:color w:val="auto"/>
          <w:lang w:val="en-US" w:eastAsia="zh-CN"/>
        </w:rPr>
      </w:pPr>
      <w:r>
        <w:rPr>
          <w:rFonts w:hint="default"/>
          <w:color w:val="auto"/>
          <w:lang w:val="en-US" w:eastAsia="zh-CN"/>
        </w:rPr>
        <w:t>政府和行业协会应设立专项基金，鼓励企业、研究机构和高校在建筑垃圾资源化利用领域的研究与开发。通过产学研合作，推动技术创新和成果转化，提高资源化产品的技术含量和市场竞争力。同时，应建立技术服务平台，提供技术咨询、测试分析、标准制定等服务，帮助企业解决技术难题，提升产品质量。</w:t>
      </w:r>
    </w:p>
    <w:p w14:paraId="3B123CA3">
      <w:pPr>
        <w:pStyle w:val="4"/>
        <w:bidi w:val="0"/>
        <w:rPr>
          <w:rFonts w:hint="eastAsia"/>
          <w:color w:val="auto"/>
          <w:lang w:val="en-US" w:eastAsia="zh-CN"/>
        </w:rPr>
      </w:pPr>
      <w:bookmarkStart w:id="123" w:name="_Toc7486"/>
      <w:r>
        <w:rPr>
          <w:rFonts w:hint="eastAsia"/>
          <w:color w:val="auto"/>
          <w:lang w:val="en-US" w:eastAsia="zh-CN"/>
        </w:rPr>
        <w:t>10.4.3 产业链整合与协同发展</w:t>
      </w:r>
      <w:bookmarkEnd w:id="123"/>
    </w:p>
    <w:p w14:paraId="49277AE9">
      <w:pPr>
        <w:bidi w:val="0"/>
        <w:rPr>
          <w:rFonts w:hint="default"/>
          <w:color w:val="auto"/>
          <w:lang w:val="en-US" w:eastAsia="zh-CN"/>
        </w:rPr>
      </w:pPr>
      <w:r>
        <w:rPr>
          <w:rFonts w:hint="default"/>
          <w:color w:val="auto"/>
          <w:lang w:val="en-US" w:eastAsia="zh-CN"/>
        </w:rPr>
        <w:t>通过建立产业联盟，促进上下游企业之间的信息交流和资源共享，提高整个产业链的效率和竞争力。鼓励企业通过兼并重组、战略合作等方式，实现规模经济和产业链的优化升级。同时，应推动跨行业融合，如与建材、建筑、市政等行业的协同，形成产业集群，促进资源共享和优势互补。</w:t>
      </w:r>
    </w:p>
    <w:p w14:paraId="2B53E472">
      <w:pPr>
        <w:pStyle w:val="4"/>
        <w:bidi w:val="0"/>
        <w:rPr>
          <w:rFonts w:hint="eastAsia"/>
          <w:color w:val="auto"/>
          <w:lang w:val="en-US" w:eastAsia="zh-CN"/>
        </w:rPr>
      </w:pPr>
      <w:bookmarkStart w:id="124" w:name="_Toc29276"/>
      <w:r>
        <w:rPr>
          <w:rFonts w:hint="eastAsia"/>
          <w:color w:val="auto"/>
          <w:lang w:val="en-US" w:eastAsia="zh-CN"/>
        </w:rPr>
        <w:t>10.4.4 市场培育与品牌建设</w:t>
      </w:r>
      <w:bookmarkEnd w:id="124"/>
    </w:p>
    <w:p w14:paraId="79A21EED">
      <w:pPr>
        <w:bidi w:val="0"/>
        <w:rPr>
          <w:rFonts w:hint="default"/>
          <w:color w:val="auto"/>
          <w:lang w:val="en-US" w:eastAsia="zh-CN"/>
        </w:rPr>
      </w:pPr>
      <w:r>
        <w:rPr>
          <w:rFonts w:hint="default"/>
          <w:color w:val="auto"/>
          <w:lang w:val="en-US" w:eastAsia="zh-CN"/>
        </w:rPr>
        <w:t>通过宣传教育、示范项目、绿色认证等方式，提高公众对建筑垃圾资源化利用产品的认知度和接受度。支持企业开展品牌建设，提升产品知名度和美誉度，增强市场竞争力。同时，应建立公平竞争的市场环境，通过市场机制引导资源合理配置，促进产业的健康发展。</w:t>
      </w:r>
    </w:p>
    <w:p w14:paraId="1613FEF7">
      <w:pPr>
        <w:pStyle w:val="4"/>
        <w:bidi w:val="0"/>
        <w:rPr>
          <w:rFonts w:hint="eastAsia"/>
          <w:color w:val="auto"/>
          <w:lang w:val="en-US" w:eastAsia="zh-CN"/>
        </w:rPr>
      </w:pPr>
      <w:bookmarkStart w:id="125" w:name="_Toc22753"/>
      <w:r>
        <w:rPr>
          <w:rFonts w:hint="eastAsia"/>
          <w:color w:val="auto"/>
          <w:lang w:val="en-US" w:eastAsia="zh-CN"/>
        </w:rPr>
        <w:t>10.4.5 人才培养与教育推广</w:t>
      </w:r>
      <w:bookmarkEnd w:id="125"/>
    </w:p>
    <w:p w14:paraId="013E374E">
      <w:pPr>
        <w:bidi w:val="0"/>
        <w:rPr>
          <w:rFonts w:hint="default"/>
          <w:color w:val="auto"/>
          <w:lang w:val="en-US" w:eastAsia="zh-CN"/>
        </w:rPr>
      </w:pPr>
      <w:r>
        <w:rPr>
          <w:rFonts w:hint="default"/>
          <w:color w:val="auto"/>
          <w:lang w:val="en-US" w:eastAsia="zh-CN"/>
        </w:rPr>
        <w:t>注重人才培养与教育推广。建立专业人才培养体系，通过高校、职业技术学院等教育机构，培养建筑垃圾资源化利用领域的专业人才。同时，开展行业培训和继续教育，提高从业人员的专业技能和管理水平。此外，应加强环保教育和绿色建筑理念的普及，</w:t>
      </w:r>
      <w:r>
        <w:rPr>
          <w:rFonts w:hint="eastAsia"/>
          <w:color w:val="auto"/>
          <w:lang w:val="en-US" w:eastAsia="zh-CN"/>
        </w:rPr>
        <w:t>增强</w:t>
      </w:r>
      <w:r>
        <w:rPr>
          <w:rFonts w:hint="default"/>
          <w:color w:val="auto"/>
          <w:lang w:val="en-US" w:eastAsia="zh-CN"/>
        </w:rPr>
        <w:t>公众的环保意识，为产业发展营造良好的社会氛围。</w:t>
      </w:r>
    </w:p>
    <w:p w14:paraId="72E350FF">
      <w:pPr>
        <w:pStyle w:val="4"/>
        <w:bidi w:val="0"/>
        <w:rPr>
          <w:rFonts w:hint="eastAsia"/>
          <w:color w:val="auto"/>
          <w:lang w:val="en-US" w:eastAsia="zh-CN"/>
        </w:rPr>
      </w:pPr>
      <w:bookmarkStart w:id="126" w:name="_Toc24876"/>
      <w:r>
        <w:rPr>
          <w:rFonts w:hint="eastAsia"/>
          <w:color w:val="auto"/>
          <w:lang w:val="en-US" w:eastAsia="zh-CN"/>
        </w:rPr>
        <w:t>10.4.6 环境监管与标准制定</w:t>
      </w:r>
      <w:bookmarkEnd w:id="126"/>
    </w:p>
    <w:p w14:paraId="653CB6C9">
      <w:pPr>
        <w:bidi w:val="0"/>
        <w:rPr>
          <w:rFonts w:hint="default"/>
          <w:color w:val="auto"/>
          <w:lang w:val="en-US" w:eastAsia="zh-CN"/>
        </w:rPr>
      </w:pPr>
      <w:r>
        <w:rPr>
          <w:rFonts w:hint="default"/>
          <w:color w:val="auto"/>
          <w:lang w:val="en-US" w:eastAsia="zh-CN"/>
        </w:rPr>
        <w:t>政府应加强环境监管，确保企业在生产过程中符合环保要求，减少对环境的影响。同时，应制定和完善建筑垃圾资源化利用的相关标准，包括产品质量标准、生产过程标准、环保标准等，引导产业规范化发展。通过环境监管和标准制定，促进产业的绿色转型和可持续发展。</w:t>
      </w:r>
    </w:p>
    <w:p w14:paraId="14EAFD9D">
      <w:pPr>
        <w:rPr>
          <w:rFonts w:hint="default"/>
          <w:color w:val="auto"/>
          <w:lang w:val="en-US" w:eastAsia="zh-CN"/>
        </w:rPr>
      </w:pPr>
      <w:r>
        <w:rPr>
          <w:rFonts w:hint="default"/>
          <w:color w:val="auto"/>
          <w:lang w:val="en-US" w:eastAsia="zh-CN"/>
        </w:rPr>
        <w:br w:type="page"/>
      </w:r>
    </w:p>
    <w:p w14:paraId="71A66C7F">
      <w:pPr>
        <w:pStyle w:val="2"/>
        <w:bidi w:val="0"/>
        <w:rPr>
          <w:rFonts w:hint="default"/>
          <w:color w:val="auto"/>
          <w:lang w:val="en-US" w:eastAsia="zh-CN"/>
        </w:rPr>
      </w:pPr>
      <w:bookmarkStart w:id="127" w:name="_Toc3180"/>
      <w:r>
        <w:rPr>
          <w:rFonts w:hint="default"/>
          <w:color w:val="auto"/>
          <w:lang w:val="en-US" w:eastAsia="zh-CN"/>
        </w:rPr>
        <w:t>第</w:t>
      </w:r>
      <w:r>
        <w:rPr>
          <w:rFonts w:hint="eastAsia"/>
          <w:color w:val="auto"/>
          <w:lang w:val="en-US" w:eastAsia="zh-CN"/>
        </w:rPr>
        <w:t>十一</w:t>
      </w:r>
      <w:r>
        <w:rPr>
          <w:rFonts w:hint="default"/>
          <w:color w:val="auto"/>
          <w:lang w:val="en-US" w:eastAsia="zh-CN"/>
        </w:rPr>
        <w:t xml:space="preserve">章 </w:t>
      </w:r>
      <w:r>
        <w:rPr>
          <w:rFonts w:hint="eastAsia"/>
          <w:color w:val="auto"/>
          <w:lang w:val="en-US" w:eastAsia="zh-CN"/>
        </w:rPr>
        <w:t>近期规划实施计划</w:t>
      </w:r>
      <w:bookmarkEnd w:id="127"/>
    </w:p>
    <w:p w14:paraId="39714C20">
      <w:pPr>
        <w:pStyle w:val="3"/>
        <w:bidi w:val="0"/>
        <w:rPr>
          <w:rFonts w:hint="default"/>
          <w:color w:val="auto"/>
          <w:lang w:val="en-US" w:eastAsia="zh-CN"/>
        </w:rPr>
      </w:pPr>
      <w:bookmarkStart w:id="128" w:name="_Toc5944"/>
      <w:r>
        <w:rPr>
          <w:rFonts w:hint="eastAsia"/>
          <w:color w:val="auto"/>
          <w:lang w:val="en-US" w:eastAsia="zh-CN"/>
        </w:rPr>
        <w:t>11</w:t>
      </w:r>
      <w:r>
        <w:rPr>
          <w:rFonts w:hint="default"/>
          <w:color w:val="auto"/>
          <w:lang w:val="en-US" w:eastAsia="zh-CN"/>
        </w:rPr>
        <w:t>.1</w:t>
      </w:r>
      <w:r>
        <w:rPr>
          <w:rFonts w:hint="eastAsia"/>
          <w:color w:val="auto"/>
          <w:lang w:val="en-US" w:eastAsia="zh-CN"/>
        </w:rPr>
        <w:t xml:space="preserve"> 近期工作规划</w:t>
      </w:r>
      <w:bookmarkEnd w:id="128"/>
    </w:p>
    <w:p w14:paraId="07EF59F5">
      <w:pPr>
        <w:outlineLvl w:val="9"/>
        <w:rPr>
          <w:rFonts w:hint="default"/>
          <w:color w:val="auto"/>
          <w:lang w:val="en-US" w:eastAsia="zh-CN"/>
        </w:rPr>
      </w:pPr>
      <w:r>
        <w:rPr>
          <w:rFonts w:hint="default"/>
          <w:color w:val="auto"/>
          <w:lang w:val="en-US" w:eastAsia="zh-CN"/>
        </w:rPr>
        <w:t>近期至2030年，围绕完善建筑垃圾收运系统和管理机制，持续深化推进源头减量、分类管理、综合利用、场所布局建设，强化部门协同监管等工作，实现从源头到处置全过程管控。</w:t>
      </w:r>
    </w:p>
    <w:p w14:paraId="126A50CA">
      <w:pPr>
        <w:bidi w:val="0"/>
        <w:rPr>
          <w:rFonts w:hint="default"/>
          <w:color w:val="auto"/>
          <w:lang w:val="en-US" w:eastAsia="zh-CN"/>
        </w:rPr>
      </w:pPr>
      <w:r>
        <w:rPr>
          <w:rFonts w:hint="default"/>
          <w:b/>
          <w:bCs/>
          <w:color w:val="auto"/>
          <w:lang w:val="en-US" w:eastAsia="zh-CN"/>
        </w:rPr>
        <w:t>深化存量建筑垃圾治理。</w:t>
      </w:r>
      <w:r>
        <w:rPr>
          <w:rFonts w:hint="default"/>
          <w:color w:val="auto"/>
          <w:lang w:val="en-US" w:eastAsia="zh-CN"/>
        </w:rPr>
        <w:t>持续开展存量建筑垃圾排查整治突出重点区域，及时清理无主垃圾，整治非正规垃圾堆放点</w:t>
      </w:r>
      <w:r>
        <w:rPr>
          <w:rFonts w:hint="eastAsia"/>
          <w:color w:val="auto"/>
          <w:lang w:val="en-US" w:eastAsia="zh-CN"/>
        </w:rPr>
        <w:t>；</w:t>
      </w:r>
      <w:r>
        <w:rPr>
          <w:rFonts w:hint="default"/>
          <w:color w:val="auto"/>
          <w:lang w:val="en-US" w:eastAsia="zh-CN"/>
        </w:rPr>
        <w:t>加强对建筑垃圾消纳场的规范管理、安全隐患排查整治工作，依法对未按审批路线开展运输、未在指定消纳场处置等违法违规行为进行处理，对未经审批的建筑垃圾堆放点予以取缔、查处。加强收运处理体系建设。支持逐步推行建筑垃圾收运新能源车辆，做好清运企业</w:t>
      </w:r>
      <w:r>
        <w:rPr>
          <w:rFonts w:hint="eastAsia"/>
          <w:color w:val="auto"/>
          <w:lang w:val="en-US" w:eastAsia="zh-CN"/>
        </w:rPr>
        <w:t>核准</w:t>
      </w:r>
      <w:r>
        <w:rPr>
          <w:rFonts w:hint="default"/>
          <w:color w:val="auto"/>
          <w:lang w:val="en-US" w:eastAsia="zh-CN"/>
        </w:rPr>
        <w:t>、新进企业清运资质办理、执行车辆更新规范等工作。根据有关标准要求，推进建筑垃圾收集、储运处理等设施规范化建设，满足规范消纳作业管理要求</w:t>
      </w:r>
      <w:r>
        <w:rPr>
          <w:rFonts w:hint="eastAsia"/>
          <w:color w:val="auto"/>
          <w:lang w:val="en-US" w:eastAsia="zh-CN"/>
        </w:rPr>
        <w:t>。</w:t>
      </w:r>
    </w:p>
    <w:p w14:paraId="38DEFDD2">
      <w:pPr>
        <w:bidi w:val="0"/>
        <w:rPr>
          <w:rFonts w:hint="default"/>
          <w:color w:val="auto"/>
          <w:lang w:val="en-US" w:eastAsia="zh-CN"/>
        </w:rPr>
      </w:pPr>
      <w:r>
        <w:rPr>
          <w:rFonts w:hint="default"/>
          <w:b/>
          <w:bCs/>
          <w:color w:val="auto"/>
          <w:lang w:val="en-US" w:eastAsia="zh-CN"/>
        </w:rPr>
        <w:t>推动资源化利用产业化。</w:t>
      </w:r>
      <w:r>
        <w:rPr>
          <w:rFonts w:hint="default"/>
          <w:color w:val="auto"/>
          <w:lang w:val="en-US" w:eastAsia="zh-CN"/>
        </w:rPr>
        <w:t>运用信息化手段推进建筑垃圾源头减量，促进工地和项目业主间垃圾自行消化处理，提高建筑垃圾综合利用和资源集约节约。开展城区建筑垃圾循环化利用项目布局规划</w:t>
      </w:r>
      <w:r>
        <w:rPr>
          <w:rFonts w:hint="eastAsia"/>
          <w:color w:val="auto"/>
          <w:lang w:val="en-US" w:eastAsia="zh-CN"/>
        </w:rPr>
        <w:t>，</w:t>
      </w:r>
      <w:r>
        <w:rPr>
          <w:rFonts w:hint="default"/>
          <w:color w:val="auto"/>
          <w:lang w:val="en-US" w:eastAsia="zh-CN"/>
        </w:rPr>
        <w:t>建立健全建筑垃圾资源化循环化利用政策配套支持体系，建设资源化利用示范项目。</w:t>
      </w:r>
    </w:p>
    <w:p w14:paraId="3DD0DF35">
      <w:pPr>
        <w:bidi w:val="0"/>
        <w:rPr>
          <w:rFonts w:hint="default"/>
          <w:color w:val="auto"/>
          <w:lang w:val="en-US" w:eastAsia="zh-CN"/>
        </w:rPr>
      </w:pPr>
      <w:r>
        <w:rPr>
          <w:rFonts w:hint="default"/>
          <w:b/>
          <w:bCs/>
          <w:color w:val="auto"/>
          <w:lang w:val="en-US" w:eastAsia="zh-CN"/>
        </w:rPr>
        <w:t>提升监管治理信息化。</w:t>
      </w:r>
      <w:r>
        <w:rPr>
          <w:rFonts w:hint="default"/>
          <w:color w:val="auto"/>
          <w:lang w:val="en-US" w:eastAsia="zh-CN"/>
        </w:rPr>
        <w:t>升级优化市建筑垃圾监管平台，促进建筑垃圾数字治理跨部门协调联动，建立健全清运车辆</w:t>
      </w:r>
      <w:r>
        <w:rPr>
          <w:rFonts w:hint="eastAsia"/>
          <w:color w:val="auto"/>
          <w:lang w:val="en-US" w:eastAsia="zh-CN"/>
        </w:rPr>
        <w:t>“</w:t>
      </w:r>
      <w:r>
        <w:rPr>
          <w:rFonts w:hint="default"/>
          <w:color w:val="auto"/>
          <w:lang w:val="en-US" w:eastAsia="zh-CN"/>
        </w:rPr>
        <w:t>违法报警一信息抄报一执法查处一源头追溯</w:t>
      </w:r>
      <w:r>
        <w:rPr>
          <w:rFonts w:hint="eastAsia"/>
          <w:color w:val="auto"/>
          <w:lang w:val="en-US" w:eastAsia="zh-CN"/>
        </w:rPr>
        <w:t>”</w:t>
      </w:r>
      <w:r>
        <w:rPr>
          <w:rFonts w:hint="default"/>
          <w:color w:val="auto"/>
          <w:lang w:val="en-US" w:eastAsia="zh-CN"/>
        </w:rPr>
        <w:t>闭环执法监管机制，加强</w:t>
      </w:r>
      <w:r>
        <w:rPr>
          <w:rFonts w:hint="eastAsia"/>
          <w:color w:val="auto"/>
          <w:lang w:val="en-US" w:eastAsia="zh-CN"/>
        </w:rPr>
        <w:t>“</w:t>
      </w:r>
      <w:r>
        <w:rPr>
          <w:rFonts w:hint="default"/>
          <w:color w:val="auto"/>
          <w:lang w:val="en-US" w:eastAsia="zh-CN"/>
        </w:rPr>
        <w:t>互联网+车联网综合应用</w:t>
      </w:r>
      <w:r>
        <w:rPr>
          <w:rFonts w:hint="eastAsia"/>
          <w:color w:val="auto"/>
          <w:lang w:val="en-US" w:eastAsia="zh-CN"/>
        </w:rPr>
        <w:t>”</w:t>
      </w:r>
      <w:r>
        <w:rPr>
          <w:rFonts w:hint="default"/>
          <w:color w:val="auto"/>
          <w:lang w:val="en-US" w:eastAsia="zh-CN"/>
        </w:rPr>
        <w:t>结合，实现数据信息共建共享，提高智慧化监管能力。</w:t>
      </w:r>
    </w:p>
    <w:p w14:paraId="05DB4E3F">
      <w:pPr>
        <w:pStyle w:val="3"/>
        <w:bidi w:val="0"/>
        <w:rPr>
          <w:rFonts w:hint="default"/>
          <w:color w:val="auto"/>
          <w:lang w:val="en-US" w:eastAsia="zh-CN"/>
        </w:rPr>
      </w:pPr>
      <w:bookmarkStart w:id="129" w:name="_Toc1632"/>
      <w:r>
        <w:rPr>
          <w:rFonts w:hint="eastAsia"/>
          <w:color w:val="auto"/>
          <w:lang w:val="en-US" w:eastAsia="zh-CN"/>
        </w:rPr>
        <w:t>11</w:t>
      </w:r>
      <w:r>
        <w:rPr>
          <w:rFonts w:hint="default"/>
          <w:color w:val="auto"/>
          <w:lang w:val="en-US" w:eastAsia="zh-CN"/>
        </w:rPr>
        <w:t>.2</w:t>
      </w:r>
      <w:r>
        <w:rPr>
          <w:rFonts w:hint="eastAsia"/>
          <w:color w:val="auto"/>
          <w:lang w:val="en-US" w:eastAsia="zh-CN"/>
        </w:rPr>
        <w:t xml:space="preserve"> 近期项目规划</w:t>
      </w:r>
      <w:bookmarkEnd w:id="129"/>
    </w:p>
    <w:p w14:paraId="78D7A31D">
      <w:pPr>
        <w:outlineLvl w:val="9"/>
        <w:rPr>
          <w:rFonts w:hint="default"/>
          <w:color w:val="auto"/>
          <w:highlight w:val="none"/>
          <w:lang w:val="en-US" w:eastAsia="zh-CN"/>
        </w:rPr>
      </w:pPr>
    </w:p>
    <w:p w14:paraId="7EFFB4CA">
      <w:pPr>
        <w:outlineLvl w:val="9"/>
        <w:rPr>
          <w:rFonts w:hint="default"/>
          <w:color w:val="auto"/>
          <w:highlight w:val="none"/>
          <w:lang w:val="en-US" w:eastAsia="zh-CN"/>
        </w:rPr>
      </w:pPr>
      <w:r>
        <w:rPr>
          <w:rFonts w:hint="eastAsia"/>
          <w:color w:val="auto"/>
          <w:highlight w:val="none"/>
          <w:lang w:val="en-US" w:eastAsia="zh-CN"/>
        </w:rPr>
        <w:t>本溪市建筑垃圾资源化厂具有</w:t>
      </w:r>
      <w:r>
        <w:rPr>
          <w:rFonts w:hint="default"/>
          <w:color w:val="auto"/>
          <w:highlight w:val="none"/>
          <w:lang w:val="en-US" w:eastAsia="zh-CN"/>
        </w:rPr>
        <w:t>建筑垃圾分类</w:t>
      </w:r>
      <w:r>
        <w:rPr>
          <w:rFonts w:hint="eastAsia"/>
          <w:color w:val="auto"/>
          <w:highlight w:val="none"/>
          <w:lang w:val="en-US" w:eastAsia="zh-CN"/>
        </w:rPr>
        <w:t>功能</w:t>
      </w:r>
      <w:r>
        <w:rPr>
          <w:rFonts w:hint="default"/>
          <w:color w:val="auto"/>
          <w:highlight w:val="none"/>
          <w:lang w:val="en-US" w:eastAsia="zh-CN"/>
        </w:rPr>
        <w:t>、转运调配</w:t>
      </w:r>
      <w:r>
        <w:rPr>
          <w:rFonts w:hint="eastAsia"/>
          <w:color w:val="auto"/>
          <w:highlight w:val="none"/>
          <w:lang w:val="en-US" w:eastAsia="zh-CN"/>
        </w:rPr>
        <w:t>功能</w:t>
      </w:r>
      <w:r>
        <w:rPr>
          <w:rFonts w:hint="default"/>
          <w:color w:val="auto"/>
          <w:highlight w:val="none"/>
          <w:lang w:val="en-US" w:eastAsia="zh-CN"/>
        </w:rPr>
        <w:t>、初级资源化利用功能，近期建设规模为</w:t>
      </w:r>
      <w:r>
        <w:rPr>
          <w:rFonts w:hint="eastAsia"/>
          <w:color w:val="auto"/>
          <w:highlight w:val="none"/>
          <w:lang w:val="en-US" w:eastAsia="zh-CN"/>
        </w:rPr>
        <w:t>145</w:t>
      </w:r>
      <w:r>
        <w:rPr>
          <w:rFonts w:hint="default"/>
          <w:color w:val="auto"/>
          <w:highlight w:val="none"/>
          <w:lang w:val="en-US" w:eastAsia="zh-CN"/>
        </w:rPr>
        <w:t>0吨/日，需进行筛分及破碎资源化处理</w:t>
      </w:r>
      <w:r>
        <w:rPr>
          <w:rFonts w:hint="eastAsia"/>
          <w:color w:val="auto"/>
          <w:highlight w:val="none"/>
          <w:lang w:val="en-US" w:eastAsia="zh-CN"/>
        </w:rPr>
        <w:t>，</w:t>
      </w:r>
      <w:r>
        <w:rPr>
          <w:rFonts w:hint="default"/>
          <w:color w:val="auto"/>
          <w:highlight w:val="none"/>
          <w:lang w:val="en-US" w:eastAsia="zh-CN"/>
        </w:rPr>
        <w:t>年运行</w:t>
      </w:r>
      <w:r>
        <w:rPr>
          <w:rFonts w:hint="eastAsia"/>
          <w:color w:val="auto"/>
          <w:highlight w:val="none"/>
          <w:lang w:val="en-US" w:eastAsia="zh-CN"/>
        </w:rPr>
        <w:t>300</w:t>
      </w:r>
      <w:r>
        <w:rPr>
          <w:rFonts w:hint="default"/>
          <w:color w:val="auto"/>
          <w:highlight w:val="none"/>
          <w:lang w:val="en-US" w:eastAsia="zh-CN"/>
        </w:rPr>
        <w:t>天，每天运行10小时。</w:t>
      </w:r>
    </w:p>
    <w:p w14:paraId="1499FF71">
      <w:pPr>
        <w:pStyle w:val="26"/>
        <w:bidi w:val="0"/>
        <w:rPr>
          <w:rFonts w:hint="default"/>
          <w:color w:val="auto"/>
          <w:lang w:val="en-US" w:eastAsia="zh-CN"/>
        </w:rPr>
      </w:pPr>
      <w:r>
        <w:rPr>
          <w:rFonts w:hint="eastAsia"/>
          <w:color w:val="auto"/>
          <w:lang w:val="en-US" w:eastAsia="zh-CN"/>
        </w:rPr>
        <w:t>表11.1-1 近期规划实施计划</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2025"/>
        <w:gridCol w:w="2325"/>
        <w:gridCol w:w="1920"/>
        <w:gridCol w:w="1573"/>
        <w:gridCol w:w="1745"/>
      </w:tblGrid>
      <w:tr w14:paraId="5A35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pct"/>
            <w:vAlign w:val="center"/>
          </w:tcPr>
          <w:p w14:paraId="5C97D6B4">
            <w:pPr>
              <w:widowControl w:val="0"/>
              <w:ind w:left="0" w:leftChars="0" w:firstLine="0" w:firstLineChars="0"/>
              <w:jc w:val="center"/>
              <w:outlineLvl w:val="9"/>
              <w:rPr>
                <w:rFonts w:hint="default"/>
                <w:color w:val="auto"/>
                <w:sz w:val="24"/>
                <w:szCs w:val="20"/>
                <w:vertAlign w:val="baseline"/>
                <w:lang w:val="en-US" w:eastAsia="zh-CN"/>
              </w:rPr>
            </w:pPr>
            <w:r>
              <w:rPr>
                <w:rFonts w:hint="eastAsia"/>
                <w:color w:val="auto"/>
                <w:sz w:val="24"/>
                <w:szCs w:val="20"/>
                <w:vertAlign w:val="baseline"/>
                <w:lang w:val="en-US" w:eastAsia="zh-CN"/>
              </w:rPr>
              <w:t>序号</w:t>
            </w:r>
          </w:p>
        </w:tc>
        <w:tc>
          <w:tcPr>
            <w:tcW w:w="967" w:type="pct"/>
            <w:vAlign w:val="center"/>
          </w:tcPr>
          <w:p w14:paraId="3AB0CD18">
            <w:pPr>
              <w:widowControl w:val="0"/>
              <w:ind w:left="0" w:leftChars="0" w:firstLine="0" w:firstLineChars="0"/>
              <w:jc w:val="center"/>
              <w:outlineLvl w:val="9"/>
              <w:rPr>
                <w:rFonts w:hint="default"/>
                <w:color w:val="auto"/>
                <w:sz w:val="24"/>
                <w:szCs w:val="20"/>
                <w:vertAlign w:val="baseline"/>
                <w:lang w:val="en-US" w:eastAsia="zh-CN"/>
              </w:rPr>
            </w:pPr>
            <w:r>
              <w:rPr>
                <w:rFonts w:hint="eastAsia"/>
                <w:color w:val="auto"/>
                <w:sz w:val="24"/>
                <w:szCs w:val="20"/>
                <w:vertAlign w:val="baseline"/>
                <w:lang w:val="en-US" w:eastAsia="zh-CN"/>
              </w:rPr>
              <w:t>名称</w:t>
            </w:r>
          </w:p>
        </w:tc>
        <w:tc>
          <w:tcPr>
            <w:tcW w:w="1110" w:type="pct"/>
            <w:vAlign w:val="center"/>
          </w:tcPr>
          <w:p w14:paraId="7E67AB21">
            <w:pPr>
              <w:widowControl w:val="0"/>
              <w:ind w:left="0" w:leftChars="0" w:firstLine="0" w:firstLineChars="0"/>
              <w:jc w:val="center"/>
              <w:outlineLvl w:val="9"/>
              <w:rPr>
                <w:rFonts w:hint="default"/>
                <w:color w:val="auto"/>
                <w:sz w:val="24"/>
                <w:szCs w:val="20"/>
                <w:vertAlign w:val="baseline"/>
                <w:lang w:val="en-US" w:eastAsia="zh-CN"/>
              </w:rPr>
            </w:pPr>
            <w:r>
              <w:rPr>
                <w:rFonts w:hint="eastAsia"/>
                <w:color w:val="auto"/>
                <w:sz w:val="24"/>
                <w:szCs w:val="20"/>
                <w:vertAlign w:val="baseline"/>
                <w:lang w:val="en-US" w:eastAsia="zh-CN"/>
              </w:rPr>
              <w:t>处理能力</w:t>
            </w:r>
          </w:p>
        </w:tc>
        <w:tc>
          <w:tcPr>
            <w:tcW w:w="917" w:type="pct"/>
            <w:vAlign w:val="center"/>
          </w:tcPr>
          <w:p w14:paraId="4760E1B1">
            <w:pPr>
              <w:widowControl w:val="0"/>
              <w:ind w:left="0" w:leftChars="0" w:firstLine="0" w:firstLineChars="0"/>
              <w:jc w:val="center"/>
              <w:outlineLvl w:val="9"/>
              <w:rPr>
                <w:rFonts w:hint="default"/>
                <w:color w:val="auto"/>
                <w:sz w:val="24"/>
                <w:szCs w:val="20"/>
                <w:vertAlign w:val="baseline"/>
                <w:lang w:val="en-US" w:eastAsia="zh-CN"/>
              </w:rPr>
            </w:pPr>
            <w:r>
              <w:rPr>
                <w:rFonts w:hint="eastAsia"/>
                <w:color w:val="auto"/>
                <w:sz w:val="24"/>
                <w:szCs w:val="20"/>
                <w:vertAlign w:val="baseline"/>
                <w:lang w:val="en-US" w:eastAsia="zh-CN"/>
              </w:rPr>
              <w:t>用地面积</w:t>
            </w:r>
          </w:p>
        </w:tc>
        <w:tc>
          <w:tcPr>
            <w:tcW w:w="751" w:type="pct"/>
            <w:vAlign w:val="center"/>
          </w:tcPr>
          <w:p w14:paraId="784E0326">
            <w:pPr>
              <w:widowControl w:val="0"/>
              <w:ind w:left="0" w:leftChars="0" w:firstLine="0" w:firstLineChars="0"/>
              <w:jc w:val="center"/>
              <w:outlineLvl w:val="9"/>
              <w:rPr>
                <w:rFonts w:hint="default"/>
                <w:color w:val="auto"/>
                <w:sz w:val="24"/>
                <w:szCs w:val="20"/>
                <w:vertAlign w:val="baseline"/>
                <w:lang w:val="en-US" w:eastAsia="zh-CN"/>
              </w:rPr>
            </w:pPr>
            <w:r>
              <w:rPr>
                <w:rFonts w:hint="eastAsia"/>
                <w:color w:val="auto"/>
                <w:sz w:val="24"/>
                <w:szCs w:val="20"/>
                <w:vertAlign w:val="baseline"/>
                <w:lang w:val="en-US" w:eastAsia="zh-CN"/>
              </w:rPr>
              <w:t>项目投资</w:t>
            </w:r>
          </w:p>
        </w:tc>
        <w:tc>
          <w:tcPr>
            <w:tcW w:w="833" w:type="pct"/>
            <w:vAlign w:val="center"/>
          </w:tcPr>
          <w:p w14:paraId="2814E0BF">
            <w:pPr>
              <w:widowControl w:val="0"/>
              <w:ind w:left="0" w:leftChars="0" w:firstLine="0" w:firstLineChars="0"/>
              <w:jc w:val="center"/>
              <w:outlineLvl w:val="9"/>
              <w:rPr>
                <w:rFonts w:hint="default"/>
                <w:color w:val="auto"/>
                <w:sz w:val="24"/>
                <w:szCs w:val="20"/>
                <w:vertAlign w:val="baseline"/>
                <w:lang w:val="en-US" w:eastAsia="zh-CN"/>
              </w:rPr>
            </w:pPr>
            <w:r>
              <w:rPr>
                <w:rFonts w:hint="eastAsia"/>
                <w:color w:val="auto"/>
                <w:sz w:val="24"/>
                <w:szCs w:val="20"/>
                <w:vertAlign w:val="baseline"/>
                <w:lang w:val="en-US" w:eastAsia="zh-CN"/>
              </w:rPr>
              <w:t>建设时序</w:t>
            </w:r>
          </w:p>
        </w:tc>
      </w:tr>
      <w:tr w14:paraId="41A7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pct"/>
            <w:vAlign w:val="center"/>
          </w:tcPr>
          <w:p w14:paraId="1F387CAB">
            <w:pPr>
              <w:widowControl w:val="0"/>
              <w:ind w:left="0" w:leftChars="0" w:firstLine="0" w:firstLineChars="0"/>
              <w:jc w:val="center"/>
              <w:outlineLvl w:val="9"/>
              <w:rPr>
                <w:rFonts w:hint="default"/>
                <w:color w:val="auto"/>
                <w:sz w:val="24"/>
                <w:szCs w:val="20"/>
                <w:vertAlign w:val="baseline"/>
                <w:lang w:val="en-US" w:eastAsia="zh-CN"/>
              </w:rPr>
            </w:pPr>
            <w:r>
              <w:rPr>
                <w:rFonts w:hint="eastAsia"/>
                <w:color w:val="auto"/>
                <w:sz w:val="24"/>
                <w:szCs w:val="20"/>
                <w:vertAlign w:val="baseline"/>
                <w:lang w:val="en-US" w:eastAsia="zh-CN"/>
              </w:rPr>
              <w:t>1</w:t>
            </w:r>
          </w:p>
        </w:tc>
        <w:tc>
          <w:tcPr>
            <w:tcW w:w="967" w:type="pct"/>
            <w:vAlign w:val="center"/>
          </w:tcPr>
          <w:p w14:paraId="495FE2D8">
            <w:pPr>
              <w:widowControl w:val="0"/>
              <w:ind w:left="0" w:leftChars="0" w:firstLine="0" w:firstLineChars="0"/>
              <w:jc w:val="center"/>
              <w:outlineLvl w:val="9"/>
              <w:rPr>
                <w:rFonts w:hint="default"/>
                <w:color w:val="auto"/>
                <w:sz w:val="24"/>
                <w:szCs w:val="20"/>
                <w:vertAlign w:val="baseline"/>
                <w:lang w:val="en-US" w:eastAsia="zh-CN"/>
              </w:rPr>
            </w:pPr>
            <w:r>
              <w:rPr>
                <w:rFonts w:hint="eastAsia"/>
                <w:color w:val="auto"/>
                <w:sz w:val="24"/>
                <w:szCs w:val="20"/>
                <w:vertAlign w:val="baseline"/>
                <w:lang w:val="en-US" w:eastAsia="zh-CN"/>
              </w:rPr>
              <w:t>本溪市建筑垃圾资源化厂</w:t>
            </w:r>
          </w:p>
        </w:tc>
        <w:tc>
          <w:tcPr>
            <w:tcW w:w="1110" w:type="pct"/>
            <w:vAlign w:val="center"/>
          </w:tcPr>
          <w:p w14:paraId="23BF5187">
            <w:pPr>
              <w:widowControl w:val="0"/>
              <w:ind w:left="0" w:leftChars="0" w:firstLine="0" w:firstLineChars="0"/>
              <w:jc w:val="center"/>
              <w:outlineLvl w:val="9"/>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1450</w:t>
            </w:r>
            <w:r>
              <w:rPr>
                <w:rFonts w:hint="default"/>
                <w:color w:val="auto"/>
                <w:sz w:val="24"/>
                <w:szCs w:val="20"/>
                <w:highlight w:val="none"/>
                <w:vertAlign w:val="baseline"/>
                <w:lang w:val="en-US" w:eastAsia="zh-CN"/>
              </w:rPr>
              <w:t>吨/</w:t>
            </w:r>
            <w:r>
              <w:rPr>
                <w:rFonts w:hint="eastAsia"/>
                <w:color w:val="auto"/>
                <w:sz w:val="24"/>
                <w:szCs w:val="20"/>
                <w:highlight w:val="none"/>
                <w:vertAlign w:val="baseline"/>
                <w:lang w:val="en-US" w:eastAsia="zh-CN"/>
              </w:rPr>
              <w:t>日</w:t>
            </w:r>
          </w:p>
        </w:tc>
        <w:tc>
          <w:tcPr>
            <w:tcW w:w="917" w:type="pct"/>
            <w:vAlign w:val="center"/>
          </w:tcPr>
          <w:p w14:paraId="72955CE5">
            <w:pPr>
              <w:widowControl w:val="0"/>
              <w:ind w:left="0" w:leftChars="0" w:firstLine="0" w:firstLineChars="0"/>
              <w:jc w:val="center"/>
              <w:outlineLvl w:val="9"/>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约6</w:t>
            </w:r>
            <w:r>
              <w:rPr>
                <w:rFonts w:hint="default"/>
                <w:color w:val="auto"/>
                <w:sz w:val="24"/>
                <w:szCs w:val="20"/>
                <w:highlight w:val="none"/>
                <w:vertAlign w:val="baseline"/>
                <w:lang w:val="en-US" w:eastAsia="zh-CN"/>
              </w:rPr>
              <w:t>0000</w:t>
            </w:r>
            <w:r>
              <w:rPr>
                <w:rFonts w:hint="eastAsia"/>
                <w:color w:val="auto"/>
                <w:sz w:val="24"/>
                <w:szCs w:val="20"/>
                <w:highlight w:val="none"/>
                <w:vertAlign w:val="baseline"/>
                <w:lang w:val="en-US" w:eastAsia="zh-CN"/>
              </w:rPr>
              <w:t>平方米</w:t>
            </w:r>
          </w:p>
        </w:tc>
        <w:tc>
          <w:tcPr>
            <w:tcW w:w="751" w:type="pct"/>
            <w:vAlign w:val="center"/>
          </w:tcPr>
          <w:p w14:paraId="2BC8FFC2">
            <w:pPr>
              <w:widowControl w:val="0"/>
              <w:ind w:left="0" w:leftChars="0" w:firstLine="0" w:firstLineChars="0"/>
              <w:jc w:val="center"/>
              <w:outlineLvl w:val="9"/>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7</w:t>
            </w:r>
            <w:r>
              <w:rPr>
                <w:rFonts w:hint="default"/>
                <w:color w:val="auto"/>
                <w:sz w:val="24"/>
                <w:szCs w:val="20"/>
                <w:highlight w:val="none"/>
                <w:vertAlign w:val="baseline"/>
                <w:lang w:val="en-US" w:eastAsia="zh-CN"/>
              </w:rPr>
              <w:t>000万元</w:t>
            </w:r>
          </w:p>
        </w:tc>
        <w:tc>
          <w:tcPr>
            <w:tcW w:w="833" w:type="pct"/>
            <w:vAlign w:val="center"/>
          </w:tcPr>
          <w:p w14:paraId="5420B3E6">
            <w:pPr>
              <w:widowControl w:val="0"/>
              <w:ind w:left="0" w:leftChars="0" w:firstLine="0" w:firstLineChars="0"/>
              <w:jc w:val="center"/>
              <w:outlineLvl w:val="9"/>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2030年前</w:t>
            </w:r>
          </w:p>
        </w:tc>
      </w:tr>
      <w:tr w14:paraId="42E3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pct"/>
            <w:shd w:val="clear" w:color="auto" w:fill="auto"/>
            <w:vAlign w:val="center"/>
          </w:tcPr>
          <w:p w14:paraId="7230F21C">
            <w:pPr>
              <w:widowControl w:val="0"/>
              <w:ind w:left="0" w:leftChars="0" w:firstLine="0" w:firstLineChars="0"/>
              <w:jc w:val="center"/>
              <w:rPr>
                <w:rFonts w:hint="default"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2</w:t>
            </w:r>
          </w:p>
        </w:tc>
        <w:tc>
          <w:tcPr>
            <w:tcW w:w="967" w:type="pct"/>
            <w:shd w:val="clear" w:color="auto" w:fill="auto"/>
            <w:vAlign w:val="center"/>
          </w:tcPr>
          <w:p w14:paraId="29F192F9">
            <w:pPr>
              <w:widowControl w:val="0"/>
              <w:ind w:left="0" w:leftChars="0" w:firstLine="0" w:firstLineChars="0"/>
              <w:jc w:val="center"/>
              <w:rPr>
                <w:rFonts w:hint="eastAsia" w:ascii="Times New Roman" w:hAnsi="Times New Roman" w:eastAsia="宋体"/>
                <w:color w:val="auto"/>
                <w:sz w:val="24"/>
                <w:szCs w:val="20"/>
                <w:highlight w:val="none"/>
                <w:vertAlign w:val="baseline"/>
                <w:lang w:val="en-US" w:eastAsia="zh-CN"/>
              </w:rPr>
            </w:pPr>
            <w:r>
              <w:rPr>
                <w:rFonts w:hint="eastAsia"/>
                <w:color w:val="auto"/>
                <w:sz w:val="24"/>
                <w:szCs w:val="20"/>
                <w:highlight w:val="none"/>
                <w:vertAlign w:val="baseline"/>
                <w:lang w:val="en-US" w:eastAsia="zh-CN"/>
              </w:rPr>
              <w:t>明山区</w:t>
            </w:r>
            <w:r>
              <w:rPr>
                <w:rFonts w:hint="eastAsia" w:ascii="Times New Roman" w:hAnsi="Times New Roman" w:eastAsia="宋体"/>
                <w:color w:val="auto"/>
                <w:sz w:val="24"/>
                <w:szCs w:val="20"/>
                <w:highlight w:val="none"/>
                <w:vertAlign w:val="baseline"/>
                <w:lang w:val="en-US" w:eastAsia="zh-CN"/>
              </w:rPr>
              <w:t>建筑垃圾</w:t>
            </w:r>
          </w:p>
          <w:p w14:paraId="440F9E6D">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转运调配场</w:t>
            </w:r>
          </w:p>
        </w:tc>
        <w:tc>
          <w:tcPr>
            <w:tcW w:w="1110" w:type="pct"/>
            <w:shd w:val="clear" w:color="auto" w:fill="auto"/>
            <w:vAlign w:val="center"/>
          </w:tcPr>
          <w:p w14:paraId="3FE2B447">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约27000立方米</w:t>
            </w:r>
          </w:p>
        </w:tc>
        <w:tc>
          <w:tcPr>
            <w:tcW w:w="917" w:type="pct"/>
            <w:shd w:val="clear" w:color="auto" w:fill="auto"/>
            <w:vAlign w:val="center"/>
          </w:tcPr>
          <w:p w14:paraId="3A259B8E">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约15000</w:t>
            </w:r>
            <w:r>
              <w:rPr>
                <w:rFonts w:hint="eastAsia" w:ascii="Times New Roman" w:hAnsi="Times New Roman" w:eastAsia="宋体"/>
                <w:color w:val="auto"/>
                <w:sz w:val="24"/>
                <w:szCs w:val="20"/>
                <w:highlight w:val="none"/>
                <w:vertAlign w:val="baseline"/>
                <w:lang w:val="en-US" w:eastAsia="zh-CN"/>
              </w:rPr>
              <w:t>平方米</w:t>
            </w:r>
          </w:p>
        </w:tc>
        <w:tc>
          <w:tcPr>
            <w:tcW w:w="751" w:type="pct"/>
            <w:shd w:val="clear" w:color="auto" w:fill="auto"/>
            <w:vAlign w:val="center"/>
          </w:tcPr>
          <w:p w14:paraId="6C2D0F4C">
            <w:pPr>
              <w:widowControl w:val="0"/>
              <w:ind w:left="0" w:leftChars="0" w:firstLine="0" w:firstLineChars="0"/>
              <w:jc w:val="center"/>
              <w:rPr>
                <w:rFonts w:hint="default" w:ascii="Times New Roman" w:hAnsi="Times New Roman" w:eastAsia="宋体" w:cs="Arial"/>
                <w:snapToGrid w:val="0"/>
                <w:color w:val="auto"/>
                <w:kern w:val="0"/>
                <w:sz w:val="24"/>
                <w:szCs w:val="20"/>
                <w:highlight w:val="none"/>
                <w:vertAlign w:val="baseline"/>
                <w:lang w:val="en-US" w:eastAsia="zh-CN"/>
              </w:rPr>
            </w:pPr>
            <w:r>
              <w:rPr>
                <w:rFonts w:hint="eastAsia" w:ascii="Times New Roman" w:hAnsi="Times New Roman" w:cs="Arial"/>
                <w:snapToGrid w:val="0"/>
                <w:color w:val="auto"/>
                <w:kern w:val="0"/>
                <w:sz w:val="24"/>
                <w:szCs w:val="20"/>
                <w:highlight w:val="none"/>
                <w:vertAlign w:val="baseline"/>
                <w:lang w:val="en-US" w:eastAsia="zh-CN"/>
              </w:rPr>
              <w:t>324万元</w:t>
            </w:r>
          </w:p>
        </w:tc>
        <w:tc>
          <w:tcPr>
            <w:tcW w:w="833" w:type="pct"/>
            <w:shd w:val="clear" w:color="auto" w:fill="auto"/>
            <w:vAlign w:val="center"/>
          </w:tcPr>
          <w:p w14:paraId="1596F37F">
            <w:pPr>
              <w:widowControl w:val="0"/>
              <w:kinsoku w:val="0"/>
              <w:autoSpaceDE w:val="0"/>
              <w:autoSpaceDN w:val="0"/>
              <w:adjustRightInd w:val="0"/>
              <w:snapToGrid w:val="0"/>
              <w:spacing w:line="360" w:lineRule="auto"/>
              <w:ind w:left="0" w:leftChars="0" w:firstLine="0" w:firstLineChars="0"/>
              <w:jc w:val="center"/>
              <w:textAlignment w:val="baseline"/>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建设用地</w:t>
            </w:r>
          </w:p>
        </w:tc>
      </w:tr>
      <w:tr w14:paraId="14C3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pct"/>
            <w:shd w:val="clear" w:color="auto" w:fill="auto"/>
            <w:vAlign w:val="center"/>
          </w:tcPr>
          <w:p w14:paraId="1B7FF6D0">
            <w:pPr>
              <w:widowControl w:val="0"/>
              <w:ind w:left="0" w:leftChars="0" w:firstLine="0" w:firstLineChars="0"/>
              <w:jc w:val="center"/>
              <w:rPr>
                <w:rFonts w:hint="default"/>
                <w:color w:val="auto"/>
                <w:sz w:val="24"/>
                <w:szCs w:val="20"/>
                <w:highlight w:val="none"/>
                <w:vertAlign w:val="baseline"/>
                <w:lang w:val="en-US" w:eastAsia="zh-CN"/>
              </w:rPr>
            </w:pPr>
            <w:r>
              <w:rPr>
                <w:rFonts w:hint="eastAsia"/>
                <w:color w:val="auto"/>
                <w:sz w:val="24"/>
                <w:szCs w:val="20"/>
                <w:highlight w:val="none"/>
                <w:vertAlign w:val="baseline"/>
                <w:lang w:val="en-US" w:eastAsia="zh-CN"/>
              </w:rPr>
              <w:t>3</w:t>
            </w:r>
          </w:p>
        </w:tc>
        <w:tc>
          <w:tcPr>
            <w:tcW w:w="967" w:type="pct"/>
            <w:shd w:val="clear" w:color="auto" w:fill="auto"/>
            <w:vAlign w:val="center"/>
          </w:tcPr>
          <w:p w14:paraId="6C8A1E2A">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南芬区建筑垃圾</w:t>
            </w:r>
          </w:p>
          <w:p w14:paraId="2E8147C9">
            <w:pPr>
              <w:widowControl w:val="0"/>
              <w:ind w:left="0" w:leftChars="0" w:firstLine="0" w:firstLineChars="0"/>
              <w:jc w:val="center"/>
              <w:rPr>
                <w:rFonts w:hint="default"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转运调配场</w:t>
            </w:r>
          </w:p>
        </w:tc>
        <w:tc>
          <w:tcPr>
            <w:tcW w:w="1110" w:type="pct"/>
            <w:shd w:val="clear" w:color="auto" w:fill="auto"/>
            <w:vAlign w:val="center"/>
          </w:tcPr>
          <w:p w14:paraId="238095C8">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约46800立方米</w:t>
            </w:r>
          </w:p>
        </w:tc>
        <w:tc>
          <w:tcPr>
            <w:tcW w:w="917" w:type="pct"/>
            <w:shd w:val="clear" w:color="auto" w:fill="auto"/>
            <w:vAlign w:val="center"/>
          </w:tcPr>
          <w:p w14:paraId="446C8430">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约26000平方米</w:t>
            </w:r>
          </w:p>
        </w:tc>
        <w:tc>
          <w:tcPr>
            <w:tcW w:w="751" w:type="pct"/>
            <w:shd w:val="clear" w:color="auto" w:fill="auto"/>
            <w:vAlign w:val="center"/>
          </w:tcPr>
          <w:p w14:paraId="31A79F7D">
            <w:pPr>
              <w:widowControl w:val="0"/>
              <w:ind w:left="0" w:leftChars="0" w:firstLine="0" w:firstLineChars="0"/>
              <w:jc w:val="center"/>
              <w:rPr>
                <w:rFonts w:hint="default" w:ascii="Times New Roman" w:hAnsi="Times New Roman" w:eastAsia="宋体" w:cs="Arial"/>
                <w:snapToGrid w:val="0"/>
                <w:color w:val="auto"/>
                <w:kern w:val="0"/>
                <w:sz w:val="24"/>
                <w:szCs w:val="20"/>
                <w:highlight w:val="none"/>
                <w:vertAlign w:val="baseline"/>
                <w:lang w:val="en-US" w:eastAsia="zh-CN"/>
              </w:rPr>
            </w:pPr>
            <w:r>
              <w:rPr>
                <w:rFonts w:hint="eastAsia" w:ascii="Times New Roman" w:hAnsi="Times New Roman" w:cs="Arial"/>
                <w:snapToGrid w:val="0"/>
                <w:color w:val="auto"/>
                <w:kern w:val="0"/>
                <w:sz w:val="24"/>
                <w:szCs w:val="20"/>
                <w:highlight w:val="none"/>
                <w:vertAlign w:val="baseline"/>
                <w:lang w:val="en-US" w:eastAsia="zh-CN"/>
              </w:rPr>
              <w:t>468万元</w:t>
            </w:r>
          </w:p>
        </w:tc>
        <w:tc>
          <w:tcPr>
            <w:tcW w:w="833" w:type="pct"/>
            <w:shd w:val="clear" w:color="auto" w:fill="auto"/>
            <w:vAlign w:val="center"/>
          </w:tcPr>
          <w:p w14:paraId="263E4EE5">
            <w:pPr>
              <w:widowControl w:val="0"/>
              <w:kinsoku w:val="0"/>
              <w:autoSpaceDE w:val="0"/>
              <w:autoSpaceDN w:val="0"/>
              <w:adjustRightInd w:val="0"/>
              <w:snapToGrid w:val="0"/>
              <w:spacing w:line="360" w:lineRule="auto"/>
              <w:ind w:left="0" w:leftChars="0" w:firstLine="0" w:firstLineChars="0"/>
              <w:jc w:val="center"/>
              <w:textAlignment w:val="baseline"/>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建设用地</w:t>
            </w:r>
          </w:p>
        </w:tc>
      </w:tr>
      <w:tr w14:paraId="58A6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pct"/>
            <w:shd w:val="clear" w:color="auto" w:fill="auto"/>
            <w:vAlign w:val="center"/>
          </w:tcPr>
          <w:p w14:paraId="473F18C4">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ascii="Times New Roman" w:hAnsi="Times New Roman"/>
                <w:color w:val="auto"/>
                <w:sz w:val="24"/>
                <w:szCs w:val="20"/>
                <w:highlight w:val="none"/>
                <w:vertAlign w:val="baseline"/>
                <w:lang w:val="en-US" w:eastAsia="zh-CN"/>
              </w:rPr>
              <w:t>4</w:t>
            </w:r>
          </w:p>
        </w:tc>
        <w:tc>
          <w:tcPr>
            <w:tcW w:w="967" w:type="pct"/>
            <w:shd w:val="clear" w:color="auto" w:fill="auto"/>
            <w:vAlign w:val="center"/>
          </w:tcPr>
          <w:p w14:paraId="5407DB4F">
            <w:pPr>
              <w:widowControl w:val="0"/>
              <w:ind w:left="0" w:leftChars="0" w:firstLine="0" w:firstLineChars="0"/>
              <w:jc w:val="center"/>
              <w:rPr>
                <w:rFonts w:hint="eastAsia"/>
                <w:color w:val="auto"/>
                <w:sz w:val="24"/>
                <w:szCs w:val="20"/>
                <w:highlight w:val="none"/>
                <w:vertAlign w:val="baseline"/>
                <w:lang w:val="en-US" w:eastAsia="zh-CN"/>
              </w:rPr>
            </w:pPr>
            <w:r>
              <w:rPr>
                <w:rFonts w:hint="eastAsia"/>
                <w:color w:val="auto"/>
                <w:sz w:val="24"/>
                <w:szCs w:val="20"/>
                <w:highlight w:val="none"/>
                <w:vertAlign w:val="baseline"/>
                <w:lang w:val="en-US" w:eastAsia="zh-CN"/>
              </w:rPr>
              <w:t>平山区建筑垃圾</w:t>
            </w:r>
          </w:p>
          <w:p w14:paraId="0414E7B0">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转运调配场</w:t>
            </w:r>
          </w:p>
        </w:tc>
        <w:tc>
          <w:tcPr>
            <w:tcW w:w="1110" w:type="pct"/>
            <w:shd w:val="clear" w:color="auto" w:fill="auto"/>
            <w:vAlign w:val="center"/>
          </w:tcPr>
          <w:p w14:paraId="4AD84957">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约2150立方米</w:t>
            </w:r>
          </w:p>
        </w:tc>
        <w:tc>
          <w:tcPr>
            <w:tcW w:w="917" w:type="pct"/>
            <w:shd w:val="clear" w:color="auto" w:fill="auto"/>
            <w:vAlign w:val="center"/>
          </w:tcPr>
          <w:p w14:paraId="7315AC7A">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1174平方米</w:t>
            </w:r>
          </w:p>
        </w:tc>
        <w:tc>
          <w:tcPr>
            <w:tcW w:w="751" w:type="pct"/>
            <w:shd w:val="clear" w:color="auto" w:fill="auto"/>
            <w:vAlign w:val="center"/>
          </w:tcPr>
          <w:p w14:paraId="0AB43BA4">
            <w:pPr>
              <w:widowControl w:val="0"/>
              <w:ind w:left="0" w:leftChars="0" w:firstLine="0" w:firstLineChars="0"/>
              <w:jc w:val="center"/>
              <w:rPr>
                <w:rFonts w:hint="default" w:ascii="Times New Roman" w:hAnsi="Times New Roman" w:eastAsia="宋体" w:cs="Arial"/>
                <w:snapToGrid w:val="0"/>
                <w:color w:val="auto"/>
                <w:kern w:val="0"/>
                <w:sz w:val="24"/>
                <w:szCs w:val="20"/>
                <w:highlight w:val="none"/>
                <w:vertAlign w:val="baseline"/>
                <w:lang w:val="en-US" w:eastAsia="zh-CN"/>
              </w:rPr>
            </w:pPr>
            <w:r>
              <w:rPr>
                <w:rFonts w:hint="eastAsia" w:ascii="Times New Roman" w:hAnsi="Times New Roman" w:cs="Arial"/>
                <w:snapToGrid w:val="0"/>
                <w:color w:val="auto"/>
                <w:kern w:val="0"/>
                <w:sz w:val="24"/>
                <w:szCs w:val="20"/>
                <w:highlight w:val="none"/>
                <w:vertAlign w:val="baseline"/>
                <w:lang w:val="en-US" w:eastAsia="zh-CN"/>
              </w:rPr>
              <w:t>32.25万元</w:t>
            </w:r>
          </w:p>
        </w:tc>
        <w:tc>
          <w:tcPr>
            <w:tcW w:w="833" w:type="pct"/>
            <w:shd w:val="clear" w:color="auto" w:fill="auto"/>
            <w:vAlign w:val="center"/>
          </w:tcPr>
          <w:p w14:paraId="2F472E69">
            <w:pPr>
              <w:widowControl w:val="0"/>
              <w:kinsoku w:val="0"/>
              <w:autoSpaceDE w:val="0"/>
              <w:autoSpaceDN w:val="0"/>
              <w:adjustRightInd w:val="0"/>
              <w:snapToGrid w:val="0"/>
              <w:spacing w:line="360" w:lineRule="auto"/>
              <w:ind w:left="0" w:leftChars="0" w:firstLine="0" w:firstLineChars="0"/>
              <w:jc w:val="center"/>
              <w:textAlignment w:val="baseline"/>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建设用地</w:t>
            </w:r>
          </w:p>
        </w:tc>
      </w:tr>
      <w:tr w14:paraId="1748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pct"/>
            <w:shd w:val="clear" w:color="auto" w:fill="auto"/>
            <w:vAlign w:val="center"/>
          </w:tcPr>
          <w:p w14:paraId="0E9E9752">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5</w:t>
            </w:r>
          </w:p>
        </w:tc>
        <w:tc>
          <w:tcPr>
            <w:tcW w:w="967" w:type="pct"/>
            <w:shd w:val="clear" w:color="auto" w:fill="auto"/>
            <w:vAlign w:val="center"/>
          </w:tcPr>
          <w:p w14:paraId="02B0B69D">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本溪市建筑垃圾信息化管理平台</w:t>
            </w:r>
          </w:p>
        </w:tc>
        <w:tc>
          <w:tcPr>
            <w:tcW w:w="1110" w:type="pct"/>
            <w:shd w:val="clear" w:color="auto" w:fill="auto"/>
            <w:vAlign w:val="center"/>
          </w:tcPr>
          <w:p w14:paraId="01071FFA">
            <w:pPr>
              <w:widowControl w:val="0"/>
              <w:kinsoku w:val="0"/>
              <w:autoSpaceDE w:val="0"/>
              <w:autoSpaceDN w:val="0"/>
              <w:adjustRightInd w:val="0"/>
              <w:snapToGrid w:val="0"/>
              <w:spacing w:line="360" w:lineRule="auto"/>
              <w:ind w:left="0" w:leftChars="0" w:firstLine="0" w:firstLineChars="0"/>
              <w:jc w:val="center"/>
              <w:textAlignment w:val="baseline"/>
              <w:rPr>
                <w:rFonts w:hint="eastAsia" w:ascii="Times New Roman" w:hAnsi="Times New Roman" w:eastAsia="宋体" w:cs="Arial"/>
                <w:snapToGrid w:val="0"/>
                <w:color w:val="auto"/>
                <w:kern w:val="0"/>
                <w:sz w:val="24"/>
                <w:szCs w:val="20"/>
                <w:highlight w:val="none"/>
                <w:vertAlign w:val="baseline"/>
                <w:lang w:val="en-US" w:eastAsia="zh-CN"/>
              </w:rPr>
            </w:pPr>
          </w:p>
        </w:tc>
        <w:tc>
          <w:tcPr>
            <w:tcW w:w="917" w:type="pct"/>
            <w:shd w:val="clear" w:color="auto" w:fill="auto"/>
            <w:vAlign w:val="center"/>
          </w:tcPr>
          <w:p w14:paraId="73C918C9">
            <w:pPr>
              <w:widowControl w:val="0"/>
              <w:ind w:left="0" w:leftChars="0" w:firstLine="0" w:firstLineChars="0"/>
              <w:jc w:val="center"/>
              <w:rPr>
                <w:rFonts w:hint="eastAsia" w:ascii="Times New Roman" w:hAnsi="Times New Roman" w:eastAsia="宋体" w:cs="Arial"/>
                <w:snapToGrid w:val="0"/>
                <w:color w:val="auto"/>
                <w:kern w:val="0"/>
                <w:sz w:val="24"/>
                <w:szCs w:val="20"/>
                <w:highlight w:val="none"/>
                <w:vertAlign w:val="baseline"/>
                <w:lang w:val="en-US" w:eastAsia="zh-CN"/>
              </w:rPr>
            </w:pPr>
          </w:p>
        </w:tc>
        <w:tc>
          <w:tcPr>
            <w:tcW w:w="751" w:type="pct"/>
            <w:shd w:val="clear" w:color="auto" w:fill="auto"/>
            <w:vAlign w:val="center"/>
          </w:tcPr>
          <w:p w14:paraId="481D3CE0">
            <w:pPr>
              <w:widowControl w:val="0"/>
              <w:kinsoku w:val="0"/>
              <w:autoSpaceDE w:val="0"/>
              <w:autoSpaceDN w:val="0"/>
              <w:adjustRightInd w:val="0"/>
              <w:snapToGrid w:val="0"/>
              <w:spacing w:line="360" w:lineRule="auto"/>
              <w:ind w:left="0" w:leftChars="0" w:firstLine="0" w:firstLineChars="0"/>
              <w:jc w:val="center"/>
              <w:textAlignment w:val="baseline"/>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color w:val="auto"/>
                <w:sz w:val="24"/>
                <w:szCs w:val="20"/>
                <w:highlight w:val="none"/>
                <w:vertAlign w:val="baseline"/>
                <w:lang w:val="en-US" w:eastAsia="zh-CN"/>
              </w:rPr>
              <w:t>100万元</w:t>
            </w:r>
          </w:p>
        </w:tc>
        <w:tc>
          <w:tcPr>
            <w:tcW w:w="833" w:type="pct"/>
            <w:shd w:val="clear" w:color="auto" w:fill="auto"/>
            <w:vAlign w:val="center"/>
          </w:tcPr>
          <w:p w14:paraId="12B9FB76">
            <w:pPr>
              <w:widowControl w:val="0"/>
              <w:kinsoku w:val="0"/>
              <w:autoSpaceDE w:val="0"/>
              <w:autoSpaceDN w:val="0"/>
              <w:adjustRightInd w:val="0"/>
              <w:snapToGrid w:val="0"/>
              <w:spacing w:line="360" w:lineRule="auto"/>
              <w:ind w:left="0" w:leftChars="0" w:firstLine="0" w:firstLineChars="0"/>
              <w:jc w:val="center"/>
              <w:textAlignment w:val="baseline"/>
              <w:rPr>
                <w:rFonts w:hint="eastAsia" w:ascii="Times New Roman" w:hAnsi="Times New Roman" w:eastAsia="宋体" w:cs="Arial"/>
                <w:snapToGrid w:val="0"/>
                <w:color w:val="auto"/>
                <w:kern w:val="0"/>
                <w:sz w:val="24"/>
                <w:szCs w:val="20"/>
                <w:highlight w:val="none"/>
                <w:vertAlign w:val="baseline"/>
                <w:lang w:val="en-US" w:eastAsia="zh-CN"/>
              </w:rPr>
            </w:pPr>
            <w:r>
              <w:rPr>
                <w:rFonts w:hint="eastAsia" w:ascii="Times New Roman" w:hAnsi="Times New Roman" w:eastAsia="宋体" w:cs="Arial"/>
                <w:snapToGrid w:val="0"/>
                <w:color w:val="auto"/>
                <w:kern w:val="0"/>
                <w:sz w:val="24"/>
                <w:szCs w:val="20"/>
                <w:highlight w:val="none"/>
                <w:vertAlign w:val="baseline"/>
                <w:lang w:val="en-US" w:eastAsia="zh-CN"/>
              </w:rPr>
              <w:t>20</w:t>
            </w:r>
            <w:r>
              <w:rPr>
                <w:rFonts w:hint="eastAsia" w:cs="Arial"/>
                <w:snapToGrid w:val="0"/>
                <w:color w:val="auto"/>
                <w:kern w:val="0"/>
                <w:sz w:val="24"/>
                <w:szCs w:val="20"/>
                <w:highlight w:val="none"/>
                <w:vertAlign w:val="baseline"/>
                <w:lang w:val="en-US" w:eastAsia="zh-CN"/>
              </w:rPr>
              <w:t>35</w:t>
            </w:r>
            <w:r>
              <w:rPr>
                <w:rFonts w:hint="eastAsia" w:ascii="Times New Roman" w:hAnsi="Times New Roman" w:eastAsia="宋体" w:cs="Arial"/>
                <w:snapToGrid w:val="0"/>
                <w:color w:val="auto"/>
                <w:kern w:val="0"/>
                <w:sz w:val="24"/>
                <w:szCs w:val="20"/>
                <w:highlight w:val="none"/>
                <w:vertAlign w:val="baseline"/>
                <w:lang w:val="en-US" w:eastAsia="zh-CN"/>
              </w:rPr>
              <w:t>年前</w:t>
            </w:r>
          </w:p>
        </w:tc>
      </w:tr>
    </w:tbl>
    <w:p w14:paraId="44CE9F65">
      <w:pPr>
        <w:outlineLvl w:val="9"/>
        <w:rPr>
          <w:rFonts w:hint="default"/>
          <w:color w:val="auto"/>
          <w:lang w:val="en-US" w:eastAsia="zh-CN"/>
        </w:rPr>
      </w:pPr>
    </w:p>
    <w:p w14:paraId="4BFBED94">
      <w:pPr>
        <w:rPr>
          <w:rFonts w:hint="default"/>
          <w:color w:val="auto"/>
          <w:lang w:val="en-US" w:eastAsia="zh-CN"/>
        </w:rPr>
      </w:pPr>
      <w:r>
        <w:rPr>
          <w:rFonts w:hint="default"/>
          <w:color w:val="auto"/>
          <w:lang w:val="en-US" w:eastAsia="zh-CN"/>
        </w:rPr>
        <w:br w:type="page"/>
      </w:r>
    </w:p>
    <w:p w14:paraId="74301B22">
      <w:pPr>
        <w:pStyle w:val="2"/>
        <w:bidi w:val="0"/>
        <w:jc w:val="center"/>
        <w:rPr>
          <w:rFonts w:hint="default"/>
          <w:color w:val="auto"/>
          <w:lang w:val="en-US" w:eastAsia="zh-CN"/>
        </w:rPr>
      </w:pPr>
      <w:bookmarkStart w:id="130" w:name="_Toc10928"/>
      <w:r>
        <w:rPr>
          <w:rFonts w:hint="default"/>
          <w:color w:val="auto"/>
          <w:lang w:val="en-US" w:eastAsia="zh-CN"/>
        </w:rPr>
        <w:t>第</w:t>
      </w:r>
      <w:r>
        <w:rPr>
          <w:rFonts w:hint="eastAsia"/>
          <w:color w:val="auto"/>
          <w:lang w:val="en-US" w:eastAsia="zh-CN"/>
        </w:rPr>
        <w:t>十二</w:t>
      </w:r>
      <w:r>
        <w:rPr>
          <w:rFonts w:hint="default"/>
          <w:color w:val="auto"/>
          <w:lang w:val="en-US" w:eastAsia="zh-CN"/>
        </w:rPr>
        <w:t>章</w:t>
      </w:r>
      <w:r>
        <w:rPr>
          <w:rFonts w:hint="eastAsia"/>
          <w:color w:val="auto"/>
          <w:lang w:val="en-US" w:eastAsia="zh-CN"/>
        </w:rPr>
        <w:t xml:space="preserve"> 保障措施</w:t>
      </w:r>
      <w:bookmarkEnd w:id="130"/>
    </w:p>
    <w:p w14:paraId="275C9E2A">
      <w:pPr>
        <w:pStyle w:val="3"/>
        <w:bidi w:val="0"/>
        <w:rPr>
          <w:rFonts w:hint="default"/>
          <w:color w:val="auto"/>
          <w:lang w:val="en-US" w:eastAsia="zh-CN"/>
        </w:rPr>
      </w:pPr>
      <w:bookmarkStart w:id="131" w:name="_Toc18201"/>
      <w:r>
        <w:rPr>
          <w:rFonts w:hint="eastAsia"/>
          <w:color w:val="auto"/>
          <w:lang w:val="en-US" w:eastAsia="zh-CN"/>
        </w:rPr>
        <w:t>12</w:t>
      </w:r>
      <w:r>
        <w:rPr>
          <w:rFonts w:hint="default"/>
          <w:color w:val="auto"/>
          <w:lang w:val="en-US" w:eastAsia="zh-CN"/>
        </w:rPr>
        <w:t>.1</w:t>
      </w:r>
      <w:r>
        <w:rPr>
          <w:rFonts w:hint="eastAsia"/>
          <w:color w:val="auto"/>
          <w:lang w:val="en-US" w:eastAsia="zh-CN"/>
        </w:rPr>
        <w:t xml:space="preserve"> </w:t>
      </w:r>
      <w:r>
        <w:rPr>
          <w:rFonts w:hint="default"/>
          <w:color w:val="auto"/>
          <w:lang w:val="en-US" w:eastAsia="zh-CN"/>
        </w:rPr>
        <w:t>政策</w:t>
      </w:r>
      <w:r>
        <w:rPr>
          <w:rFonts w:hint="eastAsia"/>
          <w:color w:val="auto"/>
          <w:lang w:val="en-US" w:eastAsia="zh-CN"/>
        </w:rPr>
        <w:t>保障</w:t>
      </w:r>
      <w:bookmarkEnd w:id="131"/>
    </w:p>
    <w:p w14:paraId="57154DC7">
      <w:pPr>
        <w:rPr>
          <w:rFonts w:hint="default"/>
          <w:color w:val="auto"/>
          <w:lang w:val="en-US" w:eastAsia="zh-CN"/>
        </w:rPr>
      </w:pPr>
      <w:r>
        <w:rPr>
          <w:rFonts w:hint="default"/>
          <w:color w:val="auto"/>
          <w:lang w:val="en-US" w:eastAsia="zh-CN"/>
        </w:rPr>
        <w:t>（1）政府应</w:t>
      </w:r>
      <w:r>
        <w:rPr>
          <w:rFonts w:hint="eastAsia"/>
          <w:color w:val="auto"/>
          <w:lang w:val="en-US" w:eastAsia="zh-CN"/>
        </w:rPr>
        <w:t>完善</w:t>
      </w:r>
      <w:r>
        <w:rPr>
          <w:rFonts w:hint="default"/>
          <w:color w:val="auto"/>
          <w:lang w:val="en-US" w:eastAsia="zh-CN"/>
        </w:rPr>
        <w:t>《</w:t>
      </w:r>
      <w:r>
        <w:rPr>
          <w:rFonts w:hint="eastAsia"/>
          <w:color w:val="auto"/>
          <w:lang w:val="en-US" w:eastAsia="zh-CN"/>
        </w:rPr>
        <w:t>本溪市</w:t>
      </w:r>
      <w:r>
        <w:rPr>
          <w:rFonts w:hint="default"/>
          <w:color w:val="auto"/>
          <w:lang w:val="en-US" w:eastAsia="zh-CN"/>
        </w:rPr>
        <w:t>建筑垃圾管理办法》。</w:t>
      </w:r>
      <w:r>
        <w:rPr>
          <w:rFonts w:hint="default"/>
          <w:b/>
          <w:bCs/>
          <w:color w:val="auto"/>
          <w:lang w:val="en-US" w:eastAsia="zh-CN"/>
        </w:rPr>
        <w:t>一是明确建筑垃圾主体责任及</w:t>
      </w:r>
      <w:r>
        <w:rPr>
          <w:rFonts w:hint="eastAsia"/>
          <w:b/>
          <w:bCs/>
          <w:color w:val="auto"/>
          <w:lang w:val="en-US" w:eastAsia="zh-CN"/>
        </w:rPr>
        <w:t>将</w:t>
      </w:r>
      <w:r>
        <w:rPr>
          <w:rFonts w:hint="default"/>
          <w:b/>
          <w:bCs/>
          <w:color w:val="auto"/>
          <w:lang w:val="en-US" w:eastAsia="zh-CN"/>
        </w:rPr>
        <w:t>管理处置费纳入工程概算。</w:t>
      </w:r>
      <w:r>
        <w:rPr>
          <w:rFonts w:hint="default"/>
          <w:color w:val="auto"/>
          <w:lang w:val="en-US" w:eastAsia="zh-CN"/>
        </w:rPr>
        <w:t>按照</w:t>
      </w:r>
      <w:r>
        <w:rPr>
          <w:rFonts w:hint="eastAsia"/>
          <w:color w:val="auto"/>
          <w:lang w:val="en-US" w:eastAsia="zh-CN"/>
        </w:rPr>
        <w:t>“</w:t>
      </w:r>
      <w:r>
        <w:rPr>
          <w:rFonts w:hint="default"/>
          <w:color w:val="auto"/>
          <w:lang w:val="en-US" w:eastAsia="zh-CN"/>
        </w:rPr>
        <w:t>谁产生、谁承担处置责任</w:t>
      </w:r>
      <w:r>
        <w:rPr>
          <w:rFonts w:hint="eastAsia"/>
          <w:color w:val="auto"/>
          <w:lang w:val="en-US" w:eastAsia="zh-CN"/>
        </w:rPr>
        <w:t>”</w:t>
      </w:r>
      <w:r>
        <w:rPr>
          <w:rFonts w:hint="default"/>
          <w:color w:val="auto"/>
          <w:lang w:val="en-US" w:eastAsia="zh-CN"/>
        </w:rPr>
        <w:t>的原则，加强建设单位对建筑垃圾减量化首要责任的落实。建设单位应明确建筑垃圾减量化的目标和措施，并纳入招标文件和合同文本，将建筑垃圾管理处置费纳入工程概算，统筹工程规划、设计、施工、交付等阶段，加强全过程管理，及时支付所需费用，建立相应奖惩机制，监督和激励设计、施工、监理单位落实建筑垃圾减量化的目标措施；</w:t>
      </w:r>
      <w:r>
        <w:rPr>
          <w:rFonts w:hint="default"/>
          <w:b/>
          <w:bCs/>
          <w:color w:val="auto"/>
          <w:lang w:val="en-US" w:eastAsia="zh-CN"/>
        </w:rPr>
        <w:t>二</w:t>
      </w:r>
      <w:r>
        <w:rPr>
          <w:rFonts w:hint="eastAsia"/>
          <w:b/>
          <w:bCs/>
          <w:color w:val="auto"/>
          <w:lang w:val="en-US" w:eastAsia="zh-CN"/>
        </w:rPr>
        <w:t>是</w:t>
      </w:r>
      <w:r>
        <w:rPr>
          <w:rFonts w:hint="default"/>
          <w:b/>
          <w:bCs/>
          <w:color w:val="auto"/>
          <w:lang w:val="en-US" w:eastAsia="zh-CN"/>
        </w:rPr>
        <w:t>建立</w:t>
      </w:r>
      <w:r>
        <w:rPr>
          <w:rFonts w:hint="eastAsia"/>
          <w:b/>
          <w:bCs/>
          <w:color w:val="auto"/>
          <w:lang w:val="en-US" w:eastAsia="zh-CN"/>
        </w:rPr>
        <w:t>排放</w:t>
      </w:r>
      <w:r>
        <w:rPr>
          <w:rFonts w:hint="default"/>
          <w:b/>
          <w:bCs/>
          <w:color w:val="auto"/>
          <w:lang w:val="en-US" w:eastAsia="zh-CN"/>
        </w:rPr>
        <w:t>、运输、</w:t>
      </w:r>
      <w:r>
        <w:rPr>
          <w:rFonts w:hint="eastAsia"/>
          <w:b/>
          <w:bCs/>
          <w:color w:val="auto"/>
          <w:lang w:val="en-US" w:eastAsia="zh-CN"/>
        </w:rPr>
        <w:t>处理核准备案</w:t>
      </w:r>
      <w:r>
        <w:rPr>
          <w:rFonts w:hint="default"/>
          <w:b/>
          <w:bCs/>
          <w:color w:val="auto"/>
          <w:lang w:val="en-US" w:eastAsia="zh-CN"/>
        </w:rPr>
        <w:t>制度。</w:t>
      </w:r>
      <w:r>
        <w:rPr>
          <w:rFonts w:hint="default"/>
          <w:color w:val="auto"/>
          <w:lang w:val="en-US" w:eastAsia="zh-CN"/>
        </w:rPr>
        <w:t>建立建筑</w:t>
      </w:r>
      <w:r>
        <w:rPr>
          <w:rFonts w:hint="eastAsia"/>
          <w:color w:val="auto"/>
          <w:lang w:val="en-US" w:eastAsia="zh-CN"/>
        </w:rPr>
        <w:t>垃圾</w:t>
      </w:r>
      <w:r>
        <w:rPr>
          <w:rFonts w:hint="default"/>
          <w:color w:val="auto"/>
          <w:lang w:val="en-US" w:eastAsia="zh-CN"/>
        </w:rPr>
        <w:t>排放、运输、处理核准备案制度，健全建筑垃圾源头企业排放建筑垃圾相关管理政策，健全外埠运输企业和车辆进入本市运营管理政策。承运建筑垃圾的企业要具备固定的办公场所和车辆停放场所等，核发统一标识和准运证件，主管部门严格管理，纳入重点监管范围，初步实现全程跟踪。制定建筑垃圾运输行业管理规范和服务标准，鼓励组建绿色车队，规范运输行为，减少建筑垃圾运输遗撒扬尘和乱倒乱卸现象，全面推进运输规范化管理。此外，加大对违法行为的执法力度，建立与各行政管理部门结合的、常态化检查、执法为主的长效管理机制。</w:t>
      </w:r>
    </w:p>
    <w:p w14:paraId="24C1F216">
      <w:pPr>
        <w:rPr>
          <w:rFonts w:hint="default"/>
          <w:color w:val="auto"/>
          <w:lang w:val="en-US" w:eastAsia="zh-CN"/>
        </w:rPr>
      </w:pPr>
      <w:r>
        <w:rPr>
          <w:rFonts w:hint="default"/>
          <w:color w:val="auto"/>
          <w:lang w:val="en-US" w:eastAsia="zh-CN"/>
        </w:rPr>
        <w:t>（2）为建筑垃圾综合利用制定生产、销售、使用建筑垃圾综合利用产品的优惠政策，鼓励企业利用建筑垃圾生产建筑材料和进行再生利用，鼓励建设单位、施工单位优先采用建筑垃圾综合利用产品。</w:t>
      </w:r>
    </w:p>
    <w:p w14:paraId="20BE90F8">
      <w:pPr>
        <w:rPr>
          <w:rFonts w:hint="default"/>
          <w:color w:val="auto"/>
          <w:lang w:val="en-US" w:eastAsia="zh-CN"/>
        </w:rPr>
      </w:pPr>
      <w:r>
        <w:rPr>
          <w:rFonts w:hint="default"/>
          <w:color w:val="auto"/>
          <w:lang w:val="en-US" w:eastAsia="zh-CN"/>
        </w:rPr>
        <w:t>（3）制定推广使用建筑垃圾综合利用产品办法，</w:t>
      </w:r>
      <w:r>
        <w:rPr>
          <w:rFonts w:hint="eastAsia"/>
          <w:color w:val="auto"/>
          <w:lang w:val="en-US" w:eastAsia="zh-CN"/>
        </w:rPr>
        <w:t>政府</w:t>
      </w:r>
      <w:r>
        <w:rPr>
          <w:rFonts w:hint="default"/>
          <w:color w:val="auto"/>
          <w:lang w:val="en-US" w:eastAsia="zh-CN"/>
        </w:rPr>
        <w:t>工程应带头使用，逐步提高建筑垃圾综合利用产品在路政、园林、水利、住建工程项目中的使用比例，针对不符合国家和地方的产业政策、建材革新的有关规定以及产品质量标准的技术、工艺和建筑垃圾综合利用产品，建立淘汰名录，明令禁止采用。</w:t>
      </w:r>
    </w:p>
    <w:p w14:paraId="5B4225D0">
      <w:pPr>
        <w:pStyle w:val="3"/>
        <w:bidi w:val="0"/>
        <w:rPr>
          <w:rFonts w:hint="default"/>
          <w:color w:val="auto"/>
          <w:lang w:val="en-US" w:eastAsia="zh-CN"/>
        </w:rPr>
      </w:pPr>
      <w:bookmarkStart w:id="132" w:name="_Toc31172"/>
      <w:r>
        <w:rPr>
          <w:rFonts w:hint="eastAsia"/>
          <w:color w:val="auto"/>
          <w:lang w:val="en-US" w:eastAsia="zh-CN"/>
        </w:rPr>
        <w:t>12</w:t>
      </w:r>
      <w:r>
        <w:rPr>
          <w:rFonts w:hint="default"/>
          <w:color w:val="auto"/>
          <w:lang w:val="en-US" w:eastAsia="zh-CN"/>
        </w:rPr>
        <w:t>.2</w:t>
      </w:r>
      <w:r>
        <w:rPr>
          <w:rFonts w:hint="eastAsia"/>
          <w:color w:val="auto"/>
          <w:lang w:val="en-US" w:eastAsia="zh-CN"/>
        </w:rPr>
        <w:t xml:space="preserve"> 组织保障</w:t>
      </w:r>
      <w:bookmarkEnd w:id="132"/>
    </w:p>
    <w:p w14:paraId="0220E937">
      <w:pPr>
        <w:rPr>
          <w:rFonts w:hint="default"/>
          <w:color w:val="auto"/>
          <w:lang w:val="en-US" w:eastAsia="zh-CN"/>
        </w:rPr>
      </w:pPr>
      <w:r>
        <w:rPr>
          <w:rFonts w:hint="default"/>
          <w:b/>
          <w:bCs/>
          <w:color w:val="auto"/>
          <w:lang w:val="en-US" w:eastAsia="zh-CN"/>
        </w:rPr>
        <w:t>加强组织领导，健全工作机制，明确管理职责。</w:t>
      </w:r>
      <w:r>
        <w:rPr>
          <w:rFonts w:hint="default"/>
          <w:color w:val="auto"/>
          <w:lang w:val="en-US" w:eastAsia="zh-CN"/>
        </w:rPr>
        <w:t>市政府结合全市城镇化进程，依据省建筑垃圾处理的法律法规，由市政府和</w:t>
      </w:r>
      <w:r>
        <w:rPr>
          <w:rFonts w:hint="eastAsia"/>
          <w:color w:val="auto"/>
          <w:lang w:val="en-US" w:eastAsia="zh-CN"/>
        </w:rPr>
        <w:t>住建局</w:t>
      </w:r>
      <w:r>
        <w:rPr>
          <w:rFonts w:hint="default"/>
          <w:color w:val="auto"/>
          <w:lang w:val="en-US" w:eastAsia="zh-CN"/>
        </w:rPr>
        <w:t>会同相关部门，成立由各方负责人牵头的建筑垃圾综合治理工作领导小组，进行统筹协调管理</w:t>
      </w:r>
      <w:r>
        <w:rPr>
          <w:rFonts w:hint="eastAsia"/>
          <w:color w:val="auto"/>
          <w:lang w:val="en-US" w:eastAsia="zh-CN"/>
        </w:rPr>
        <w:t>；</w:t>
      </w:r>
      <w:r>
        <w:rPr>
          <w:rFonts w:hint="default"/>
          <w:color w:val="auto"/>
          <w:lang w:val="en-US" w:eastAsia="zh-CN"/>
        </w:rPr>
        <w:t>明确各政府部门职责和分工，特别是明确建筑垃圾的分类、储存、运输、堆填等过程中的监管和</w:t>
      </w:r>
      <w:r>
        <w:rPr>
          <w:rFonts w:hint="eastAsia"/>
          <w:color w:val="auto"/>
          <w:lang w:val="en-US" w:eastAsia="zh-CN"/>
        </w:rPr>
        <w:t>处置设施</w:t>
      </w:r>
      <w:r>
        <w:rPr>
          <w:rFonts w:hint="default"/>
          <w:color w:val="auto"/>
          <w:lang w:val="en-US" w:eastAsia="zh-CN"/>
        </w:rPr>
        <w:t>的规划、建设及营运管理，落实对回收、再生利用建筑垃圾的产业支持和财税等激励措施。</w:t>
      </w:r>
    </w:p>
    <w:p w14:paraId="21FDD6CF">
      <w:pPr>
        <w:pStyle w:val="3"/>
        <w:bidi w:val="0"/>
        <w:rPr>
          <w:rFonts w:hint="default"/>
          <w:color w:val="auto"/>
          <w:lang w:val="en-US" w:eastAsia="zh-CN"/>
        </w:rPr>
      </w:pPr>
      <w:bookmarkStart w:id="133" w:name="_Toc7741"/>
      <w:r>
        <w:rPr>
          <w:rFonts w:hint="eastAsia"/>
          <w:color w:val="auto"/>
          <w:lang w:val="en-US" w:eastAsia="zh-CN"/>
        </w:rPr>
        <w:t>12</w:t>
      </w:r>
      <w:r>
        <w:rPr>
          <w:rFonts w:hint="default"/>
          <w:color w:val="auto"/>
          <w:lang w:val="en-US" w:eastAsia="zh-CN"/>
        </w:rPr>
        <w:t>.3</w:t>
      </w:r>
      <w:r>
        <w:rPr>
          <w:rFonts w:hint="eastAsia"/>
          <w:color w:val="auto"/>
          <w:lang w:val="en-US" w:eastAsia="zh-CN"/>
        </w:rPr>
        <w:t xml:space="preserve"> 资金保障</w:t>
      </w:r>
      <w:bookmarkEnd w:id="133"/>
    </w:p>
    <w:p w14:paraId="2521BF88">
      <w:pPr>
        <w:rPr>
          <w:rFonts w:hint="default"/>
          <w:color w:val="auto"/>
          <w:lang w:val="en-US" w:eastAsia="zh-CN"/>
        </w:rPr>
      </w:pPr>
      <w:r>
        <w:rPr>
          <w:rFonts w:hint="default"/>
          <w:color w:val="auto"/>
          <w:lang w:val="en-US" w:eastAsia="zh-CN"/>
        </w:rPr>
        <w:t>一方面，加大政府财政支持力度，设立专项资金，如财政投入、专项债券等。另一方面，进一步扩大资金来源，多渠道筹集资金，鼓励、支持符合条件的企事业单位、社会团体参与建筑垃圾的消纳处理工作。投资方式可采用政府投资与社会融资建设相结合，拓宽融资渠道，可考虑采用BOT或EPC-O等方式向社会融资。鼓励社会资本投入建筑废弃物产业，形成投资主体多元化、投资方式多样化、投资机制市场化的投融资体制。鼓励银行适当地提供贷款优惠。</w:t>
      </w:r>
    </w:p>
    <w:p w14:paraId="247FF8DB">
      <w:pPr>
        <w:pStyle w:val="3"/>
        <w:bidi w:val="0"/>
        <w:rPr>
          <w:rFonts w:hint="default"/>
          <w:color w:val="auto"/>
          <w:lang w:val="en-US" w:eastAsia="zh-CN"/>
        </w:rPr>
      </w:pPr>
      <w:bookmarkStart w:id="134" w:name="_Toc16085"/>
      <w:r>
        <w:rPr>
          <w:rFonts w:hint="eastAsia"/>
          <w:color w:val="auto"/>
          <w:lang w:val="en-US" w:eastAsia="zh-CN"/>
        </w:rPr>
        <w:t>12</w:t>
      </w:r>
      <w:r>
        <w:rPr>
          <w:rFonts w:hint="default"/>
          <w:color w:val="auto"/>
          <w:lang w:val="en-US" w:eastAsia="zh-CN"/>
        </w:rPr>
        <w:t>.4</w:t>
      </w:r>
      <w:r>
        <w:rPr>
          <w:rFonts w:hint="eastAsia"/>
          <w:color w:val="auto"/>
          <w:lang w:val="en-US" w:eastAsia="zh-CN"/>
        </w:rPr>
        <w:t xml:space="preserve"> 土地保障</w:t>
      </w:r>
      <w:bookmarkEnd w:id="134"/>
    </w:p>
    <w:p w14:paraId="2637A917">
      <w:pPr>
        <w:rPr>
          <w:rFonts w:hint="default"/>
          <w:color w:val="auto"/>
          <w:lang w:val="en-US" w:eastAsia="zh-CN"/>
        </w:rPr>
      </w:pPr>
      <w:r>
        <w:rPr>
          <w:rFonts w:hint="default"/>
          <w:color w:val="auto"/>
          <w:lang w:val="en-US" w:eastAsia="zh-CN"/>
        </w:rPr>
        <w:t>建筑垃圾处置点用地目前缺乏有效保障措施，用地落实难度相当大，应努力通过多种途径来解决用地，</w:t>
      </w:r>
      <w:r>
        <w:rPr>
          <w:rFonts w:hint="eastAsia"/>
          <w:color w:val="auto"/>
          <w:lang w:val="en-US" w:eastAsia="zh-CN"/>
        </w:rPr>
        <w:t>可</w:t>
      </w:r>
      <w:r>
        <w:rPr>
          <w:rFonts w:hint="default"/>
          <w:color w:val="auto"/>
          <w:lang w:val="en-US" w:eastAsia="zh-CN"/>
        </w:rPr>
        <w:t>尽可能结合现有环卫设施进行原地改造</w:t>
      </w:r>
      <w:r>
        <w:rPr>
          <w:rFonts w:hint="eastAsia"/>
          <w:color w:val="auto"/>
          <w:lang w:val="en-US" w:eastAsia="zh-CN"/>
        </w:rPr>
        <w:t>或</w:t>
      </w:r>
      <w:r>
        <w:rPr>
          <w:rFonts w:hint="default"/>
          <w:color w:val="auto"/>
          <w:lang w:val="en-US" w:eastAsia="zh-CN"/>
        </w:rPr>
        <w:t>与其他市政设施结合建设等。</w:t>
      </w:r>
      <w:r>
        <w:rPr>
          <w:rFonts w:hint="eastAsia"/>
          <w:color w:val="auto"/>
          <w:lang w:val="en-US" w:eastAsia="zh-CN"/>
        </w:rPr>
        <w:t>政府</w:t>
      </w:r>
      <w:r>
        <w:rPr>
          <w:rFonts w:hint="default"/>
          <w:color w:val="auto"/>
          <w:lang w:val="en-US" w:eastAsia="zh-CN"/>
        </w:rPr>
        <w:t>应当将本规划返回到</w:t>
      </w:r>
      <w:r>
        <w:rPr>
          <w:rFonts w:hint="eastAsia"/>
          <w:color w:val="auto"/>
          <w:lang w:val="en-US" w:eastAsia="zh-CN"/>
        </w:rPr>
        <w:t>本溪市</w:t>
      </w:r>
      <w:r>
        <w:rPr>
          <w:rFonts w:hint="default"/>
          <w:color w:val="auto"/>
          <w:lang w:val="en-US" w:eastAsia="zh-CN"/>
        </w:rPr>
        <w:t>国土空间规划</w:t>
      </w:r>
      <w:r>
        <w:rPr>
          <w:rFonts w:hint="eastAsia"/>
          <w:color w:val="auto"/>
          <w:lang w:val="en-US" w:eastAsia="zh-CN"/>
        </w:rPr>
        <w:t>中</w:t>
      </w:r>
      <w:r>
        <w:rPr>
          <w:rFonts w:hint="default"/>
          <w:color w:val="auto"/>
          <w:lang w:val="en-US" w:eastAsia="zh-CN"/>
        </w:rPr>
        <w:t>，将</w:t>
      </w:r>
      <w:r>
        <w:rPr>
          <w:rFonts w:hint="eastAsia"/>
          <w:color w:val="auto"/>
          <w:lang w:val="en-US" w:eastAsia="zh-CN"/>
        </w:rPr>
        <w:t>建筑垃圾资源化厂</w:t>
      </w:r>
      <w:r>
        <w:rPr>
          <w:rFonts w:hint="default"/>
          <w:color w:val="auto"/>
          <w:lang w:val="en-US" w:eastAsia="zh-CN"/>
        </w:rPr>
        <w:t>项目的建设用地纳入用地计划，优先保障用地指标。</w:t>
      </w:r>
    </w:p>
    <w:p w14:paraId="33BC539C">
      <w:pPr>
        <w:pStyle w:val="3"/>
        <w:bidi w:val="0"/>
        <w:rPr>
          <w:rFonts w:hint="eastAsia"/>
          <w:color w:val="auto"/>
          <w:lang w:val="en-US" w:eastAsia="zh-CN"/>
        </w:rPr>
      </w:pPr>
      <w:bookmarkStart w:id="135" w:name="_Toc10422"/>
      <w:r>
        <w:rPr>
          <w:rFonts w:hint="eastAsia"/>
          <w:color w:val="auto"/>
          <w:lang w:val="en-US" w:eastAsia="zh-CN"/>
        </w:rPr>
        <w:t>12.5 技术保障</w:t>
      </w:r>
      <w:bookmarkEnd w:id="135"/>
    </w:p>
    <w:p w14:paraId="5A03C8CE">
      <w:pPr>
        <w:ind w:left="0" w:leftChars="0" w:firstLine="562" w:firstLineChars="200"/>
        <w:rPr>
          <w:rFonts w:hint="eastAsia"/>
          <w:color w:val="auto"/>
          <w:lang w:val="en-US" w:eastAsia="zh-CN"/>
        </w:rPr>
      </w:pPr>
      <w:r>
        <w:rPr>
          <w:rFonts w:hint="eastAsia"/>
          <w:b/>
          <w:bCs/>
          <w:color w:val="auto"/>
          <w:lang w:val="en-US" w:eastAsia="zh-CN"/>
        </w:rPr>
        <w:t>（1）在本溪市现有住建部门城市管理平台上，增加建筑垃圾全过程信息化管理平台，并推广电子联单制度。</w:t>
      </w:r>
      <w:r>
        <w:rPr>
          <w:rFonts w:hint="eastAsia"/>
          <w:color w:val="auto"/>
          <w:lang w:val="en-US" w:eastAsia="zh-CN"/>
        </w:rPr>
        <w:t>建立综合管理信息系统，实现建筑垃圾源头减排、排放、运输、资源化、处置各环节政策协调、公开和共享。以点带面、稳步推进，落实建筑垃圾管理、控制、监督、利用等政策法规，有效实现建筑垃圾减量化和再利用。</w:t>
      </w:r>
    </w:p>
    <w:p w14:paraId="78F78C25">
      <w:pPr>
        <w:ind w:left="0" w:leftChars="0" w:firstLine="560" w:firstLineChars="200"/>
        <w:rPr>
          <w:rFonts w:hint="eastAsia"/>
          <w:color w:val="auto"/>
          <w:lang w:val="en-US" w:eastAsia="zh-CN"/>
        </w:rPr>
      </w:pPr>
      <w:r>
        <w:rPr>
          <w:rFonts w:hint="eastAsia"/>
          <w:color w:val="auto"/>
          <w:lang w:val="en-US" w:eastAsia="zh-CN"/>
        </w:rPr>
        <w:t>（2）加强对建筑垃圾处置场所运营期间的环境质量影响评价和监控。通过严格核实建设单位提供的垃圾处理工艺和环保设施资料，从科学环保角度确认工艺过程与环保设施的环境保证性、可靠性和先进性。为环境影响预测提供基础数据，并为环保对策和今后的环境管理工作提供依据和指导作用。</w:t>
      </w:r>
    </w:p>
    <w:p w14:paraId="3267E4ED">
      <w:pPr>
        <w:ind w:left="0" w:leftChars="0" w:firstLine="560" w:firstLineChars="200"/>
        <w:rPr>
          <w:rFonts w:hint="eastAsia"/>
          <w:color w:val="auto"/>
          <w:lang w:val="en-US" w:eastAsia="zh-CN"/>
        </w:rPr>
      </w:pPr>
      <w:r>
        <w:rPr>
          <w:rFonts w:hint="eastAsia"/>
          <w:color w:val="auto"/>
          <w:lang w:val="en-US" w:eastAsia="zh-CN"/>
        </w:rPr>
        <w:t>（3）组织编制关于建筑垃圾再生产品的地方标准。在省内率先试行，努力将地方标准转为国家标准。包括但不限于《建筑垃圾再生回填材料应用技术规程》、《建筑垃圾再生产品应用技术规程》等。</w:t>
      </w:r>
    </w:p>
    <w:p w14:paraId="529DE852">
      <w:pPr>
        <w:bidi w:val="0"/>
        <w:rPr>
          <w:rFonts w:hint="eastAsia"/>
          <w:color w:val="auto"/>
          <w:lang w:val="en-US" w:eastAsia="zh-CN"/>
        </w:rPr>
      </w:pPr>
      <w:bookmarkStart w:id="136" w:name="_Toc14282"/>
    </w:p>
    <w:p w14:paraId="04E34300">
      <w:pPr>
        <w:rPr>
          <w:rFonts w:hint="eastAsia"/>
          <w:color w:val="auto"/>
          <w:lang w:val="en-US" w:eastAsia="zh-CN"/>
        </w:rPr>
      </w:pPr>
      <w:r>
        <w:rPr>
          <w:rFonts w:hint="eastAsia"/>
          <w:color w:val="auto"/>
          <w:lang w:val="en-US" w:eastAsia="zh-CN"/>
        </w:rPr>
        <w:br w:type="column"/>
      </w:r>
      <w:bookmarkEnd w:id="136"/>
      <w:bookmarkStart w:id="137" w:name="_Toc16550"/>
      <w:r>
        <w:rPr>
          <w:rFonts w:hint="eastAsia"/>
          <w:color w:val="auto"/>
          <w:lang w:val="en-US" w:eastAsia="zh-CN"/>
        </w:rPr>
        <w:br w:type="page"/>
      </w:r>
    </w:p>
    <w:p w14:paraId="3D66091C">
      <w:pPr>
        <w:bidi w:val="0"/>
        <w:outlineLvl w:val="0"/>
        <w:rPr>
          <w:rFonts w:hint="eastAsia"/>
          <w:color w:val="auto"/>
          <w:sz w:val="32"/>
          <w:szCs w:val="22"/>
          <w:lang w:val="en-US" w:eastAsia="zh-CN"/>
        </w:rPr>
      </w:pPr>
      <w:bookmarkStart w:id="138" w:name="_Toc26370"/>
      <w:r>
        <w:rPr>
          <w:rFonts w:hint="eastAsia" w:ascii="Times New Roman" w:eastAsia="宋体"/>
          <w:color w:val="auto"/>
          <w:sz w:val="56"/>
          <w:szCs w:val="40"/>
          <w:lang w:val="en-US" w:eastAsia="zh-CN"/>
        </w:rPr>
        <w:t>附图：</w:t>
      </w:r>
      <w:bookmarkEnd w:id="137"/>
      <w:bookmarkEnd w:id="138"/>
    </w:p>
    <w:p w14:paraId="6F9FC5E5">
      <w:pPr>
        <w:pStyle w:val="23"/>
        <w:rPr>
          <w:rFonts w:hint="default"/>
          <w:color w:val="auto"/>
          <w:lang w:val="en-US" w:eastAsia="zh-CN"/>
        </w:rPr>
      </w:pPr>
    </w:p>
    <w:p w14:paraId="7EA9F9D0">
      <w:pPr>
        <w:ind w:left="0" w:leftChars="0" w:firstLine="0" w:firstLineChars="0"/>
        <w:jc w:val="center"/>
        <w:rPr>
          <w:rFonts w:hint="default"/>
          <w:color w:val="auto"/>
          <w:lang w:val="en-US" w:eastAsia="zh-CN"/>
        </w:rPr>
      </w:pPr>
      <w:r>
        <w:rPr>
          <w:rFonts w:hint="default"/>
          <w:color w:val="auto"/>
          <w:lang w:val="en-US" w:eastAsia="zh-CN"/>
        </w:rPr>
        <w:drawing>
          <wp:inline distT="0" distB="0" distL="114300" distR="114300">
            <wp:extent cx="6377305" cy="7638415"/>
            <wp:effectExtent l="0" t="0" r="4445" b="635"/>
            <wp:docPr id="10" name="图片 10" descr="本溪市建筑垃圾规划-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本溪市建筑垃圾规划-01"/>
                    <pic:cNvPicPr>
                      <a:picLocks noChangeAspect="1"/>
                    </pic:cNvPicPr>
                  </pic:nvPicPr>
                  <pic:blipFill>
                    <a:blip r:embed="rId22"/>
                    <a:stretch>
                      <a:fillRect/>
                    </a:stretch>
                  </pic:blipFill>
                  <pic:spPr>
                    <a:xfrm>
                      <a:off x="0" y="0"/>
                      <a:ext cx="6377305" cy="7638415"/>
                    </a:xfrm>
                    <a:prstGeom prst="rect">
                      <a:avLst/>
                    </a:prstGeom>
                  </pic:spPr>
                </pic:pic>
              </a:graphicData>
            </a:graphic>
          </wp:inline>
        </w:drawing>
      </w:r>
      <w:r>
        <w:rPr>
          <w:rFonts w:hint="eastAsia" w:ascii="Times New Roman" w:eastAsia="宋体"/>
          <w:b/>
          <w:bCs/>
          <w:color w:val="auto"/>
          <w:sz w:val="24"/>
          <w:szCs w:val="20"/>
          <w:lang w:val="en-US" w:eastAsia="zh-CN"/>
        </w:rPr>
        <w:t>引自《本溪市国土空间总体规划（2021—2035年）》</w:t>
      </w:r>
      <w:r>
        <w:rPr>
          <w:rFonts w:hint="default"/>
          <w:color w:val="auto"/>
          <w:lang w:val="en-US" w:eastAsia="zh-CN"/>
        </w:rPr>
        <w:drawing>
          <wp:inline distT="0" distB="0" distL="114300" distR="114300">
            <wp:extent cx="6646545" cy="7862570"/>
            <wp:effectExtent l="0" t="0" r="1905" b="5080"/>
            <wp:docPr id="15" name="图片 15" descr="本溪市建筑垃圾规划-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本溪市建筑垃圾规划-02"/>
                    <pic:cNvPicPr>
                      <a:picLocks noChangeAspect="1"/>
                    </pic:cNvPicPr>
                  </pic:nvPicPr>
                  <pic:blipFill>
                    <a:blip r:embed="rId23"/>
                    <a:stretch>
                      <a:fillRect/>
                    </a:stretch>
                  </pic:blipFill>
                  <pic:spPr>
                    <a:xfrm>
                      <a:off x="0" y="0"/>
                      <a:ext cx="6646545" cy="7862570"/>
                    </a:xfrm>
                    <a:prstGeom prst="rect">
                      <a:avLst/>
                    </a:prstGeom>
                  </pic:spPr>
                </pic:pic>
              </a:graphicData>
            </a:graphic>
          </wp:inline>
        </w:drawing>
      </w:r>
    </w:p>
    <w:p w14:paraId="090BB099">
      <w:pPr>
        <w:ind w:left="0" w:leftChars="0" w:firstLine="0" w:firstLineChars="0"/>
        <w:jc w:val="center"/>
        <w:rPr>
          <w:rFonts w:hint="default"/>
          <w:color w:val="auto"/>
          <w:lang w:val="en-US" w:eastAsia="zh-CN"/>
        </w:rPr>
      </w:pPr>
      <w:r>
        <w:rPr>
          <w:rFonts w:hint="eastAsia" w:ascii="Times New Roman" w:eastAsia="宋体"/>
          <w:b/>
          <w:bCs/>
          <w:color w:val="auto"/>
          <w:sz w:val="24"/>
          <w:szCs w:val="20"/>
          <w:lang w:val="en-US" w:eastAsia="zh-CN"/>
        </w:rPr>
        <w:t>引自《本溪市国土空间总体规划（2021—2035年）》</w:t>
      </w:r>
    </w:p>
    <w:p w14:paraId="5F1A27F4">
      <w:pPr>
        <w:ind w:left="0" w:leftChars="0" w:firstLine="0" w:firstLineChars="0"/>
        <w:jc w:val="center"/>
        <w:rPr>
          <w:rFonts w:hint="default"/>
          <w:color w:val="auto"/>
          <w:lang w:val="en-US" w:eastAsia="zh-CN"/>
        </w:rPr>
      </w:pPr>
      <w:r>
        <w:rPr>
          <w:rFonts w:hint="default"/>
          <w:color w:val="auto"/>
          <w:lang w:val="en-US" w:eastAsia="zh-CN"/>
        </w:rPr>
        <w:drawing>
          <wp:inline distT="0" distB="0" distL="114300" distR="114300">
            <wp:extent cx="6110605" cy="7864475"/>
            <wp:effectExtent l="0" t="0" r="4445" b="3175"/>
            <wp:docPr id="20" name="图片 20" descr="本溪市建筑垃圾规划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本溪市建筑垃圾规划03"/>
                    <pic:cNvPicPr>
                      <a:picLocks noChangeAspect="1"/>
                    </pic:cNvPicPr>
                  </pic:nvPicPr>
                  <pic:blipFill>
                    <a:blip r:embed="rId24"/>
                    <a:stretch>
                      <a:fillRect/>
                    </a:stretch>
                  </pic:blipFill>
                  <pic:spPr>
                    <a:xfrm>
                      <a:off x="0" y="0"/>
                      <a:ext cx="6110605" cy="7864475"/>
                    </a:xfrm>
                    <a:prstGeom prst="rect">
                      <a:avLst/>
                    </a:prstGeom>
                  </pic:spPr>
                </pic:pic>
              </a:graphicData>
            </a:graphic>
          </wp:inline>
        </w:drawing>
      </w:r>
    </w:p>
    <w:sectPr>
      <w:headerReference r:id="rId6" w:type="default"/>
      <w:footerReference r:id="rId7" w:type="default"/>
      <w:pgSz w:w="23811" w:h="16838" w:orient="landscape"/>
      <w:pgMar w:top="1800" w:right="1440" w:bottom="1800" w:left="1440" w:header="851" w:footer="992" w:gutter="0"/>
      <w:pgBorders>
        <w:top w:val="none" w:sz="0" w:space="0"/>
        <w:left w:val="none" w:sz="0" w:space="0"/>
        <w:bottom w:val="none" w:sz="0" w:space="0"/>
        <w:right w:val="none" w:sz="0" w:space="0"/>
      </w:pgBorders>
      <w:pgNumType w:fmt="decimal" w:start="1"/>
      <w:cols w:equalWidth="0" w:num="2">
        <w:col w:w="10253" w:space="425"/>
        <w:col w:w="10253"/>
      </w:cols>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s>
  <wne:acds>
    <wne:acd wne:argValue="AQAAAA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275DB49-3A9D-4311-80D2-FFED85BC691E}"/>
  </w:font>
  <w:font w:name="黑体">
    <w:panose1 w:val="02010609060101010101"/>
    <w:charset w:val="86"/>
    <w:family w:val="auto"/>
    <w:pitch w:val="default"/>
    <w:sig w:usb0="800002BF" w:usb1="38CF7CFA" w:usb2="00000016" w:usb3="00000000" w:csb0="00040001" w:csb1="00000000"/>
    <w:embedRegular r:id="rId2" w:fontKey="{00653112-9AF2-41A7-9A7A-847721E3EF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3" w:fontKey="{9586611E-8175-42B8-A4E4-4B83D511EA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D54F1">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E81AA">
    <w:pPr>
      <w:tabs>
        <w:tab w:val="center" w:pos="4153"/>
        <w:tab w:val="right" w:pos="8306"/>
      </w:tabs>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A225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0A2255">
                    <w:pPr>
                      <w:pStyle w:val="11"/>
                    </w:pPr>
                    <w:r>
                      <w:fldChar w:fldCharType="begin"/>
                    </w:r>
                    <w:r>
                      <w:instrText xml:space="preserve"> PAGE  \* MERGEFORMAT </w:instrText>
                    </w:r>
                    <w:r>
                      <w:fldChar w:fldCharType="separate"/>
                    </w:r>
                    <w:r>
                      <w:t>1</w:t>
                    </w:r>
                    <w:r>
                      <w:fldChar w:fldCharType="end"/>
                    </w:r>
                  </w:p>
                </w:txbxContent>
              </v:textbox>
            </v:shape>
          </w:pict>
        </mc:Fallback>
      </mc:AlternateContent>
    </w:r>
    <w:r>
      <w:drawing>
        <wp:inline distT="0" distB="0" distL="114300" distR="114300">
          <wp:extent cx="2682875" cy="260985"/>
          <wp:effectExtent l="0" t="0" r="3175" b="571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2682875" cy="260985"/>
                  </a:xfrm>
                  <a:prstGeom prst="rect">
                    <a:avLst/>
                  </a:prstGeom>
                  <a:noFill/>
                  <a:ln>
                    <a:noFill/>
                  </a:ln>
                </pic:spPr>
              </pic:pic>
            </a:graphicData>
          </a:graphic>
        </wp:inline>
      </w:drawing>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D6A92">
                          <w:pPr>
                            <w:tabs>
                              <w:tab w:val="center" w:pos="4153"/>
                              <w:tab w:val="right" w:pos="8306"/>
                            </w:tabs>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44D6A92">
                    <w:pPr>
                      <w:tabs>
                        <w:tab w:val="center" w:pos="4153"/>
                        <w:tab w:val="right" w:pos="8306"/>
                      </w:tabs>
                      <w:rPr>
                        <w:rFonts w:hint="eastAsia" w:eastAsia="宋体"/>
                        <w:lang w:val="en-US" w:eastAsia="zh-C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F68F">
    <w:pPr>
      <w:tabs>
        <w:tab w:val="center" w:pos="4153"/>
        <w:tab w:val="right" w:pos="8306"/>
      </w:tabs>
      <w:ind w:left="0" w:leftChars="0" w:firstLine="0" w:firstLineChars="0"/>
      <w:rPr>
        <w:rFonts w:hint="eastAsia"/>
        <w:sz w:val="24"/>
        <w:szCs w:val="20"/>
        <w:highlight w:val="none"/>
        <w:lang w:val="en-US" w:eastAsia="zh-CN"/>
      </w:rPr>
    </w:pPr>
    <w:r>
      <w:rPr>
        <w:rFonts w:hint="eastAsia"/>
        <w:sz w:val="24"/>
        <w:szCs w:val="20"/>
        <w:highlight w:val="none"/>
        <w:lang w:val="en-US" w:eastAsia="zh-CN"/>
      </w:rPr>
      <w:t>本溪市建筑垃圾污染环境防治工作规划（2024—2035年）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zY2YxODI5MjJhMzYwNDcyOTJmNGUzYTBjZDhiZGMifQ=="/>
  </w:docVars>
  <w:rsids>
    <w:rsidRoot w:val="355F0861"/>
    <w:rsid w:val="001668DB"/>
    <w:rsid w:val="004D4B97"/>
    <w:rsid w:val="0054391A"/>
    <w:rsid w:val="00585719"/>
    <w:rsid w:val="005E224C"/>
    <w:rsid w:val="0064744D"/>
    <w:rsid w:val="00793B28"/>
    <w:rsid w:val="008555F9"/>
    <w:rsid w:val="00961913"/>
    <w:rsid w:val="00A16237"/>
    <w:rsid w:val="00C528D4"/>
    <w:rsid w:val="00E16AAB"/>
    <w:rsid w:val="00EA058C"/>
    <w:rsid w:val="00EA0745"/>
    <w:rsid w:val="0136732D"/>
    <w:rsid w:val="013F59EA"/>
    <w:rsid w:val="015B0C80"/>
    <w:rsid w:val="015B6D94"/>
    <w:rsid w:val="016A347B"/>
    <w:rsid w:val="017240DE"/>
    <w:rsid w:val="017323D6"/>
    <w:rsid w:val="017E4095"/>
    <w:rsid w:val="01993D60"/>
    <w:rsid w:val="019B1886"/>
    <w:rsid w:val="019B21D2"/>
    <w:rsid w:val="01A26771"/>
    <w:rsid w:val="01AA4BCF"/>
    <w:rsid w:val="01B841E6"/>
    <w:rsid w:val="01F01BD2"/>
    <w:rsid w:val="01F50B35"/>
    <w:rsid w:val="020870D8"/>
    <w:rsid w:val="02186A33"/>
    <w:rsid w:val="02264DF1"/>
    <w:rsid w:val="023A0C1C"/>
    <w:rsid w:val="023F2212"/>
    <w:rsid w:val="02642DA4"/>
    <w:rsid w:val="026D4F83"/>
    <w:rsid w:val="027D2D3A"/>
    <w:rsid w:val="028900E4"/>
    <w:rsid w:val="02985DC6"/>
    <w:rsid w:val="02987B74"/>
    <w:rsid w:val="029C58B6"/>
    <w:rsid w:val="02B56978"/>
    <w:rsid w:val="02BE6CCE"/>
    <w:rsid w:val="02D219D3"/>
    <w:rsid w:val="02E31C33"/>
    <w:rsid w:val="02E37041"/>
    <w:rsid w:val="02E42DB9"/>
    <w:rsid w:val="02E84657"/>
    <w:rsid w:val="02EC2478"/>
    <w:rsid w:val="02F76F90"/>
    <w:rsid w:val="02F8797B"/>
    <w:rsid w:val="030D2310"/>
    <w:rsid w:val="031621ED"/>
    <w:rsid w:val="031F3DF1"/>
    <w:rsid w:val="032A2EC2"/>
    <w:rsid w:val="032F7A70"/>
    <w:rsid w:val="03351867"/>
    <w:rsid w:val="033C49A3"/>
    <w:rsid w:val="034321D6"/>
    <w:rsid w:val="034F2928"/>
    <w:rsid w:val="035A307B"/>
    <w:rsid w:val="035E700F"/>
    <w:rsid w:val="036F3C68"/>
    <w:rsid w:val="03B10EED"/>
    <w:rsid w:val="03B72B2B"/>
    <w:rsid w:val="03D83151"/>
    <w:rsid w:val="03DD40E2"/>
    <w:rsid w:val="03DE3CAC"/>
    <w:rsid w:val="03EE0357"/>
    <w:rsid w:val="03F64CC5"/>
    <w:rsid w:val="04142A66"/>
    <w:rsid w:val="04333E3D"/>
    <w:rsid w:val="043536A8"/>
    <w:rsid w:val="04446205"/>
    <w:rsid w:val="047426AB"/>
    <w:rsid w:val="04806B11"/>
    <w:rsid w:val="049973F4"/>
    <w:rsid w:val="049C7DEF"/>
    <w:rsid w:val="049F51EA"/>
    <w:rsid w:val="04A628C0"/>
    <w:rsid w:val="04AA5CBA"/>
    <w:rsid w:val="04B51EDC"/>
    <w:rsid w:val="04BB4853"/>
    <w:rsid w:val="04C410F4"/>
    <w:rsid w:val="04C904B8"/>
    <w:rsid w:val="04E945ED"/>
    <w:rsid w:val="04EE2D5F"/>
    <w:rsid w:val="04F73278"/>
    <w:rsid w:val="04F75BE8"/>
    <w:rsid w:val="05157BA2"/>
    <w:rsid w:val="05191440"/>
    <w:rsid w:val="052725FA"/>
    <w:rsid w:val="0530678A"/>
    <w:rsid w:val="0543026B"/>
    <w:rsid w:val="05626A71"/>
    <w:rsid w:val="05681A7F"/>
    <w:rsid w:val="056A63E5"/>
    <w:rsid w:val="0580326D"/>
    <w:rsid w:val="058D3151"/>
    <w:rsid w:val="05942874"/>
    <w:rsid w:val="059A3C03"/>
    <w:rsid w:val="05A970F3"/>
    <w:rsid w:val="05D529E3"/>
    <w:rsid w:val="06035B30"/>
    <w:rsid w:val="06110369"/>
    <w:rsid w:val="06167EA8"/>
    <w:rsid w:val="06290CDF"/>
    <w:rsid w:val="063B53E6"/>
    <w:rsid w:val="0644429B"/>
    <w:rsid w:val="06717C65"/>
    <w:rsid w:val="069468A4"/>
    <w:rsid w:val="06BF1B73"/>
    <w:rsid w:val="06D34789"/>
    <w:rsid w:val="06FE6B3F"/>
    <w:rsid w:val="071F6AB6"/>
    <w:rsid w:val="075B5D40"/>
    <w:rsid w:val="076B3AA9"/>
    <w:rsid w:val="07852DBD"/>
    <w:rsid w:val="07893F2F"/>
    <w:rsid w:val="078C2D24"/>
    <w:rsid w:val="079319AA"/>
    <w:rsid w:val="07983EAE"/>
    <w:rsid w:val="07AD40C1"/>
    <w:rsid w:val="07AF1BE8"/>
    <w:rsid w:val="07B61C95"/>
    <w:rsid w:val="07CD4764"/>
    <w:rsid w:val="07D77390"/>
    <w:rsid w:val="07ED23E6"/>
    <w:rsid w:val="07FE5ECC"/>
    <w:rsid w:val="080B332E"/>
    <w:rsid w:val="081303C8"/>
    <w:rsid w:val="084B203D"/>
    <w:rsid w:val="085F3D4C"/>
    <w:rsid w:val="086C1887"/>
    <w:rsid w:val="087044F6"/>
    <w:rsid w:val="0874698D"/>
    <w:rsid w:val="087B457E"/>
    <w:rsid w:val="087C32C1"/>
    <w:rsid w:val="087E378B"/>
    <w:rsid w:val="087E41F6"/>
    <w:rsid w:val="087E6341"/>
    <w:rsid w:val="08A92684"/>
    <w:rsid w:val="08C57C27"/>
    <w:rsid w:val="08D132F7"/>
    <w:rsid w:val="08D31906"/>
    <w:rsid w:val="08D4468A"/>
    <w:rsid w:val="08ED7F28"/>
    <w:rsid w:val="09057A52"/>
    <w:rsid w:val="09077F17"/>
    <w:rsid w:val="0909381B"/>
    <w:rsid w:val="091B505B"/>
    <w:rsid w:val="09273A00"/>
    <w:rsid w:val="09396877"/>
    <w:rsid w:val="09475119"/>
    <w:rsid w:val="094F7A40"/>
    <w:rsid w:val="09594501"/>
    <w:rsid w:val="095B721E"/>
    <w:rsid w:val="09931095"/>
    <w:rsid w:val="099E1F14"/>
    <w:rsid w:val="09A34935"/>
    <w:rsid w:val="09A90D29"/>
    <w:rsid w:val="09B727E4"/>
    <w:rsid w:val="09D122E9"/>
    <w:rsid w:val="09F30F99"/>
    <w:rsid w:val="09FF7E17"/>
    <w:rsid w:val="0A147B34"/>
    <w:rsid w:val="0A221EE6"/>
    <w:rsid w:val="0A2F668F"/>
    <w:rsid w:val="0A381C03"/>
    <w:rsid w:val="0A397E8E"/>
    <w:rsid w:val="0A693642"/>
    <w:rsid w:val="0A9A26C8"/>
    <w:rsid w:val="0AA50C08"/>
    <w:rsid w:val="0AAB0D8C"/>
    <w:rsid w:val="0AB023E6"/>
    <w:rsid w:val="0AB319EF"/>
    <w:rsid w:val="0AB61D52"/>
    <w:rsid w:val="0ABD286D"/>
    <w:rsid w:val="0AC459AA"/>
    <w:rsid w:val="0AC87203"/>
    <w:rsid w:val="0AD100C7"/>
    <w:rsid w:val="0AD27C88"/>
    <w:rsid w:val="0ADD2F10"/>
    <w:rsid w:val="0AE0030A"/>
    <w:rsid w:val="0AE909AB"/>
    <w:rsid w:val="0AF81AF7"/>
    <w:rsid w:val="0B1814F3"/>
    <w:rsid w:val="0B24285B"/>
    <w:rsid w:val="0B3D575C"/>
    <w:rsid w:val="0B497577"/>
    <w:rsid w:val="0B4B3F85"/>
    <w:rsid w:val="0B4E34C6"/>
    <w:rsid w:val="0B520B0D"/>
    <w:rsid w:val="0B552AA6"/>
    <w:rsid w:val="0B6E3B68"/>
    <w:rsid w:val="0B727619"/>
    <w:rsid w:val="0B860EB1"/>
    <w:rsid w:val="0B9A54FA"/>
    <w:rsid w:val="0B9A670B"/>
    <w:rsid w:val="0BA42875"/>
    <w:rsid w:val="0BED2CDE"/>
    <w:rsid w:val="0C0149DC"/>
    <w:rsid w:val="0C0D15D3"/>
    <w:rsid w:val="0C0D3381"/>
    <w:rsid w:val="0C0F46A2"/>
    <w:rsid w:val="0C104FD7"/>
    <w:rsid w:val="0C174276"/>
    <w:rsid w:val="0C1E558E"/>
    <w:rsid w:val="0C246E0A"/>
    <w:rsid w:val="0C28120A"/>
    <w:rsid w:val="0C375060"/>
    <w:rsid w:val="0C385B34"/>
    <w:rsid w:val="0C61547A"/>
    <w:rsid w:val="0C99643F"/>
    <w:rsid w:val="0CC872A8"/>
    <w:rsid w:val="0CCF238E"/>
    <w:rsid w:val="0CD22229"/>
    <w:rsid w:val="0CEA5F50"/>
    <w:rsid w:val="0CEE6D0E"/>
    <w:rsid w:val="0D002EE5"/>
    <w:rsid w:val="0D0B3D64"/>
    <w:rsid w:val="0D0F52BF"/>
    <w:rsid w:val="0D1432B0"/>
    <w:rsid w:val="0D2509A6"/>
    <w:rsid w:val="0D2B430B"/>
    <w:rsid w:val="0D607FBA"/>
    <w:rsid w:val="0D876340"/>
    <w:rsid w:val="0D8C4A31"/>
    <w:rsid w:val="0D907DC5"/>
    <w:rsid w:val="0D9642D0"/>
    <w:rsid w:val="0D985DE3"/>
    <w:rsid w:val="0DA839D2"/>
    <w:rsid w:val="0DC432BA"/>
    <w:rsid w:val="0DEB0981"/>
    <w:rsid w:val="0DED346A"/>
    <w:rsid w:val="0DFC545B"/>
    <w:rsid w:val="0E042561"/>
    <w:rsid w:val="0E0B29BB"/>
    <w:rsid w:val="0E0D7668"/>
    <w:rsid w:val="0E1327A4"/>
    <w:rsid w:val="0E186FDC"/>
    <w:rsid w:val="0E3148E3"/>
    <w:rsid w:val="0E362763"/>
    <w:rsid w:val="0E3A1CFF"/>
    <w:rsid w:val="0E3D5C17"/>
    <w:rsid w:val="0E4806A0"/>
    <w:rsid w:val="0E5F1E7B"/>
    <w:rsid w:val="0E641A67"/>
    <w:rsid w:val="0E780F3B"/>
    <w:rsid w:val="0E874076"/>
    <w:rsid w:val="0E880048"/>
    <w:rsid w:val="0E973048"/>
    <w:rsid w:val="0E9B3F9E"/>
    <w:rsid w:val="0EAC1A53"/>
    <w:rsid w:val="0EAD2BF9"/>
    <w:rsid w:val="0EB76237"/>
    <w:rsid w:val="0ED70339"/>
    <w:rsid w:val="0EE7435D"/>
    <w:rsid w:val="0EEC1973"/>
    <w:rsid w:val="0EF94682"/>
    <w:rsid w:val="0EFA4090"/>
    <w:rsid w:val="0F247843"/>
    <w:rsid w:val="0F362BEE"/>
    <w:rsid w:val="0F7634D7"/>
    <w:rsid w:val="0F8642B3"/>
    <w:rsid w:val="0F977B31"/>
    <w:rsid w:val="0FD50659"/>
    <w:rsid w:val="0FD92952"/>
    <w:rsid w:val="0FFD3483"/>
    <w:rsid w:val="10090549"/>
    <w:rsid w:val="102F50B2"/>
    <w:rsid w:val="103A7125"/>
    <w:rsid w:val="10666EA1"/>
    <w:rsid w:val="10713A95"/>
    <w:rsid w:val="10720CC1"/>
    <w:rsid w:val="107734BE"/>
    <w:rsid w:val="10972147"/>
    <w:rsid w:val="10C8304A"/>
    <w:rsid w:val="10CF629C"/>
    <w:rsid w:val="10D31111"/>
    <w:rsid w:val="11052C73"/>
    <w:rsid w:val="11382C4E"/>
    <w:rsid w:val="113B273E"/>
    <w:rsid w:val="11496C09"/>
    <w:rsid w:val="11531836"/>
    <w:rsid w:val="11665A0D"/>
    <w:rsid w:val="116F01B0"/>
    <w:rsid w:val="11812847"/>
    <w:rsid w:val="119C5658"/>
    <w:rsid w:val="11A71B81"/>
    <w:rsid w:val="11C46E1E"/>
    <w:rsid w:val="11E35931"/>
    <w:rsid w:val="12197C05"/>
    <w:rsid w:val="121A73FA"/>
    <w:rsid w:val="121F3E0E"/>
    <w:rsid w:val="123900E5"/>
    <w:rsid w:val="125C6E10"/>
    <w:rsid w:val="12624579"/>
    <w:rsid w:val="12704669"/>
    <w:rsid w:val="128A572B"/>
    <w:rsid w:val="12971B2C"/>
    <w:rsid w:val="129E61F5"/>
    <w:rsid w:val="129F0AAB"/>
    <w:rsid w:val="12AA1929"/>
    <w:rsid w:val="12AC38F3"/>
    <w:rsid w:val="12B90E66"/>
    <w:rsid w:val="12BC165D"/>
    <w:rsid w:val="12C4449F"/>
    <w:rsid w:val="12E0534B"/>
    <w:rsid w:val="130848A2"/>
    <w:rsid w:val="13196AAF"/>
    <w:rsid w:val="131B5CEA"/>
    <w:rsid w:val="13227FF1"/>
    <w:rsid w:val="133B4C77"/>
    <w:rsid w:val="133F006D"/>
    <w:rsid w:val="13573133"/>
    <w:rsid w:val="13622204"/>
    <w:rsid w:val="13630AF5"/>
    <w:rsid w:val="13642FE4"/>
    <w:rsid w:val="137E6302"/>
    <w:rsid w:val="13914012"/>
    <w:rsid w:val="13BF22AD"/>
    <w:rsid w:val="13C568B3"/>
    <w:rsid w:val="13D053C0"/>
    <w:rsid w:val="13D36B88"/>
    <w:rsid w:val="13DA4490"/>
    <w:rsid w:val="13DB5B12"/>
    <w:rsid w:val="13F05194"/>
    <w:rsid w:val="1409044E"/>
    <w:rsid w:val="140B289C"/>
    <w:rsid w:val="140B496C"/>
    <w:rsid w:val="142179C9"/>
    <w:rsid w:val="14365290"/>
    <w:rsid w:val="14435ECB"/>
    <w:rsid w:val="144E09DA"/>
    <w:rsid w:val="145C6C53"/>
    <w:rsid w:val="145F20C7"/>
    <w:rsid w:val="14677252"/>
    <w:rsid w:val="146A5814"/>
    <w:rsid w:val="14A019FD"/>
    <w:rsid w:val="14CF5677"/>
    <w:rsid w:val="14F0383F"/>
    <w:rsid w:val="14F74B73"/>
    <w:rsid w:val="14F7697C"/>
    <w:rsid w:val="14FB2231"/>
    <w:rsid w:val="150E6BFB"/>
    <w:rsid w:val="152D239E"/>
    <w:rsid w:val="152D4306"/>
    <w:rsid w:val="1555552C"/>
    <w:rsid w:val="15581DAD"/>
    <w:rsid w:val="15606A85"/>
    <w:rsid w:val="15632263"/>
    <w:rsid w:val="15640282"/>
    <w:rsid w:val="156404B5"/>
    <w:rsid w:val="15724A80"/>
    <w:rsid w:val="157B66FD"/>
    <w:rsid w:val="15853F88"/>
    <w:rsid w:val="158A3C94"/>
    <w:rsid w:val="158A5A42"/>
    <w:rsid w:val="158F2E4A"/>
    <w:rsid w:val="15BD1974"/>
    <w:rsid w:val="15C251DC"/>
    <w:rsid w:val="15C659ED"/>
    <w:rsid w:val="15CB0E82"/>
    <w:rsid w:val="15EC4007"/>
    <w:rsid w:val="163065E9"/>
    <w:rsid w:val="16317E74"/>
    <w:rsid w:val="163A3D1E"/>
    <w:rsid w:val="16493207"/>
    <w:rsid w:val="1653052A"/>
    <w:rsid w:val="165B7F9E"/>
    <w:rsid w:val="165E3157"/>
    <w:rsid w:val="16745A13"/>
    <w:rsid w:val="16753FFC"/>
    <w:rsid w:val="16777638"/>
    <w:rsid w:val="16A14DF1"/>
    <w:rsid w:val="16A2220E"/>
    <w:rsid w:val="16B92F2B"/>
    <w:rsid w:val="16C24312"/>
    <w:rsid w:val="16CB2C95"/>
    <w:rsid w:val="16D276A1"/>
    <w:rsid w:val="16DA6215"/>
    <w:rsid w:val="16DD17F2"/>
    <w:rsid w:val="16F91813"/>
    <w:rsid w:val="171D2EC4"/>
    <w:rsid w:val="17212992"/>
    <w:rsid w:val="1734132F"/>
    <w:rsid w:val="173619DD"/>
    <w:rsid w:val="17397720"/>
    <w:rsid w:val="176A1687"/>
    <w:rsid w:val="17833069"/>
    <w:rsid w:val="1789535B"/>
    <w:rsid w:val="17946704"/>
    <w:rsid w:val="17A13978"/>
    <w:rsid w:val="17A96398"/>
    <w:rsid w:val="17BE4EE7"/>
    <w:rsid w:val="17E76191"/>
    <w:rsid w:val="17F673BF"/>
    <w:rsid w:val="17FF2717"/>
    <w:rsid w:val="18381785"/>
    <w:rsid w:val="184B590A"/>
    <w:rsid w:val="18535FDC"/>
    <w:rsid w:val="185A32DE"/>
    <w:rsid w:val="185A4886"/>
    <w:rsid w:val="18682D19"/>
    <w:rsid w:val="18693021"/>
    <w:rsid w:val="186A6C6E"/>
    <w:rsid w:val="18753BCB"/>
    <w:rsid w:val="18785ADA"/>
    <w:rsid w:val="1892377D"/>
    <w:rsid w:val="189F1804"/>
    <w:rsid w:val="18B76B4E"/>
    <w:rsid w:val="18DB2A16"/>
    <w:rsid w:val="19006747"/>
    <w:rsid w:val="19033B41"/>
    <w:rsid w:val="19062897"/>
    <w:rsid w:val="19237150"/>
    <w:rsid w:val="19393A07"/>
    <w:rsid w:val="194D1260"/>
    <w:rsid w:val="1954439D"/>
    <w:rsid w:val="19597C05"/>
    <w:rsid w:val="196F567B"/>
    <w:rsid w:val="19706CFD"/>
    <w:rsid w:val="1981715C"/>
    <w:rsid w:val="198729C4"/>
    <w:rsid w:val="1998410B"/>
    <w:rsid w:val="19C33AAB"/>
    <w:rsid w:val="19D43730"/>
    <w:rsid w:val="19E65743"/>
    <w:rsid w:val="19E971DB"/>
    <w:rsid w:val="19EF5010"/>
    <w:rsid w:val="19F24478"/>
    <w:rsid w:val="1A0A0AF5"/>
    <w:rsid w:val="1A143B2C"/>
    <w:rsid w:val="1A1A6C47"/>
    <w:rsid w:val="1A1B0030"/>
    <w:rsid w:val="1A200730"/>
    <w:rsid w:val="1A307A88"/>
    <w:rsid w:val="1A5064FB"/>
    <w:rsid w:val="1A516813"/>
    <w:rsid w:val="1A73766D"/>
    <w:rsid w:val="1A8F0930"/>
    <w:rsid w:val="1A937147"/>
    <w:rsid w:val="1A9B72AC"/>
    <w:rsid w:val="1AB277F7"/>
    <w:rsid w:val="1ABB5EFB"/>
    <w:rsid w:val="1ABF1CEA"/>
    <w:rsid w:val="1ACE66DF"/>
    <w:rsid w:val="1AEB35C0"/>
    <w:rsid w:val="1B0D295C"/>
    <w:rsid w:val="1B155DAE"/>
    <w:rsid w:val="1B1E1342"/>
    <w:rsid w:val="1B3672B3"/>
    <w:rsid w:val="1B4F12C0"/>
    <w:rsid w:val="1B593EEC"/>
    <w:rsid w:val="1B6E2DCA"/>
    <w:rsid w:val="1B707488"/>
    <w:rsid w:val="1B7434FE"/>
    <w:rsid w:val="1B830F69"/>
    <w:rsid w:val="1B971DFE"/>
    <w:rsid w:val="1B983C27"/>
    <w:rsid w:val="1BA63A7D"/>
    <w:rsid w:val="1BAD5FE6"/>
    <w:rsid w:val="1BB4208A"/>
    <w:rsid w:val="1BDC3654"/>
    <w:rsid w:val="1BE340FE"/>
    <w:rsid w:val="1BE568D7"/>
    <w:rsid w:val="1BE7774A"/>
    <w:rsid w:val="1BFE6842"/>
    <w:rsid w:val="1C1B5646"/>
    <w:rsid w:val="1C2838BF"/>
    <w:rsid w:val="1C30068C"/>
    <w:rsid w:val="1C330255"/>
    <w:rsid w:val="1C335C75"/>
    <w:rsid w:val="1C37446B"/>
    <w:rsid w:val="1C3D0221"/>
    <w:rsid w:val="1C4560BD"/>
    <w:rsid w:val="1C5A616E"/>
    <w:rsid w:val="1C844F99"/>
    <w:rsid w:val="1CA21A9E"/>
    <w:rsid w:val="1CA94A00"/>
    <w:rsid w:val="1CAA5C0C"/>
    <w:rsid w:val="1CAC2742"/>
    <w:rsid w:val="1CB05B2E"/>
    <w:rsid w:val="1CB873B6"/>
    <w:rsid w:val="1CD13F56"/>
    <w:rsid w:val="1CD51C99"/>
    <w:rsid w:val="1CDA2E0B"/>
    <w:rsid w:val="1CDA5E97"/>
    <w:rsid w:val="1CE65C54"/>
    <w:rsid w:val="1CF64DCC"/>
    <w:rsid w:val="1CF71C0F"/>
    <w:rsid w:val="1D0A3A3A"/>
    <w:rsid w:val="1D201F49"/>
    <w:rsid w:val="1D266091"/>
    <w:rsid w:val="1D2C3F8A"/>
    <w:rsid w:val="1D3B4D17"/>
    <w:rsid w:val="1D3C5874"/>
    <w:rsid w:val="1D4A3669"/>
    <w:rsid w:val="1D7274E7"/>
    <w:rsid w:val="1D7D5470"/>
    <w:rsid w:val="1D853D21"/>
    <w:rsid w:val="1D8706F2"/>
    <w:rsid w:val="1D8757FE"/>
    <w:rsid w:val="1DC33AA2"/>
    <w:rsid w:val="1DDB2A57"/>
    <w:rsid w:val="1DDB32DF"/>
    <w:rsid w:val="1DDB48FA"/>
    <w:rsid w:val="1DE35A9C"/>
    <w:rsid w:val="1DE50CF7"/>
    <w:rsid w:val="1DE81558"/>
    <w:rsid w:val="1DF75C3F"/>
    <w:rsid w:val="1E105DBF"/>
    <w:rsid w:val="1E475628"/>
    <w:rsid w:val="1E4B06F4"/>
    <w:rsid w:val="1E4C5F8A"/>
    <w:rsid w:val="1E5310C7"/>
    <w:rsid w:val="1E551EE9"/>
    <w:rsid w:val="1E6A347E"/>
    <w:rsid w:val="1E6A6411"/>
    <w:rsid w:val="1E73212A"/>
    <w:rsid w:val="1E7D5A79"/>
    <w:rsid w:val="1E85324A"/>
    <w:rsid w:val="1EA336D1"/>
    <w:rsid w:val="1EA41923"/>
    <w:rsid w:val="1EB53B30"/>
    <w:rsid w:val="1ECA42FF"/>
    <w:rsid w:val="1ECA75BB"/>
    <w:rsid w:val="1EE376BF"/>
    <w:rsid w:val="1EF67CA4"/>
    <w:rsid w:val="1F1545CE"/>
    <w:rsid w:val="1F17691E"/>
    <w:rsid w:val="1F190DB2"/>
    <w:rsid w:val="1F214308"/>
    <w:rsid w:val="1F240CB5"/>
    <w:rsid w:val="1F2A0664"/>
    <w:rsid w:val="1F2A599E"/>
    <w:rsid w:val="1F4D4C7B"/>
    <w:rsid w:val="1F6A0ED1"/>
    <w:rsid w:val="1F7532BF"/>
    <w:rsid w:val="1F9415B5"/>
    <w:rsid w:val="1FBA4CC2"/>
    <w:rsid w:val="1FFB4A56"/>
    <w:rsid w:val="20196340"/>
    <w:rsid w:val="201E3957"/>
    <w:rsid w:val="20230F6D"/>
    <w:rsid w:val="202D3B9A"/>
    <w:rsid w:val="202E2FCF"/>
    <w:rsid w:val="204C750C"/>
    <w:rsid w:val="205974E8"/>
    <w:rsid w:val="20607D86"/>
    <w:rsid w:val="20AE4CDA"/>
    <w:rsid w:val="20B3409F"/>
    <w:rsid w:val="20CE2C87"/>
    <w:rsid w:val="20CF4C51"/>
    <w:rsid w:val="20DD2ECA"/>
    <w:rsid w:val="20DD736E"/>
    <w:rsid w:val="20EB5DE9"/>
    <w:rsid w:val="21132D8F"/>
    <w:rsid w:val="21154D5A"/>
    <w:rsid w:val="211C7DD6"/>
    <w:rsid w:val="21303941"/>
    <w:rsid w:val="2139204E"/>
    <w:rsid w:val="213A656E"/>
    <w:rsid w:val="21423675"/>
    <w:rsid w:val="21466CC1"/>
    <w:rsid w:val="21596DDD"/>
    <w:rsid w:val="21692E5D"/>
    <w:rsid w:val="217557F8"/>
    <w:rsid w:val="2195528E"/>
    <w:rsid w:val="21BB449B"/>
    <w:rsid w:val="21CC3797"/>
    <w:rsid w:val="21CE5601"/>
    <w:rsid w:val="21D73D59"/>
    <w:rsid w:val="21E85FCA"/>
    <w:rsid w:val="21F6480B"/>
    <w:rsid w:val="21FB12CF"/>
    <w:rsid w:val="220C1982"/>
    <w:rsid w:val="22462793"/>
    <w:rsid w:val="224F6049"/>
    <w:rsid w:val="22544EFC"/>
    <w:rsid w:val="227710FC"/>
    <w:rsid w:val="227E0C54"/>
    <w:rsid w:val="228D0920"/>
    <w:rsid w:val="22A5210D"/>
    <w:rsid w:val="22CA1B74"/>
    <w:rsid w:val="22DE151E"/>
    <w:rsid w:val="231057D9"/>
    <w:rsid w:val="232C0139"/>
    <w:rsid w:val="232C0C4C"/>
    <w:rsid w:val="232C1EE7"/>
    <w:rsid w:val="233A0AA7"/>
    <w:rsid w:val="233C481F"/>
    <w:rsid w:val="234538BF"/>
    <w:rsid w:val="234C07DB"/>
    <w:rsid w:val="235356C5"/>
    <w:rsid w:val="23545700"/>
    <w:rsid w:val="23580F2E"/>
    <w:rsid w:val="236553F8"/>
    <w:rsid w:val="238A7FB4"/>
    <w:rsid w:val="23AD74CB"/>
    <w:rsid w:val="23BB19B0"/>
    <w:rsid w:val="23C95987"/>
    <w:rsid w:val="23D031BA"/>
    <w:rsid w:val="23D902C0"/>
    <w:rsid w:val="23F878C3"/>
    <w:rsid w:val="241E49AF"/>
    <w:rsid w:val="241F46F3"/>
    <w:rsid w:val="2420033E"/>
    <w:rsid w:val="24374FE7"/>
    <w:rsid w:val="243B6A05"/>
    <w:rsid w:val="244E0498"/>
    <w:rsid w:val="248A3369"/>
    <w:rsid w:val="249441E7"/>
    <w:rsid w:val="24A73F1B"/>
    <w:rsid w:val="24AE34FB"/>
    <w:rsid w:val="24C54229"/>
    <w:rsid w:val="24C572DA"/>
    <w:rsid w:val="24CD4C15"/>
    <w:rsid w:val="24D00601"/>
    <w:rsid w:val="24D160E1"/>
    <w:rsid w:val="24DB5972"/>
    <w:rsid w:val="24DE5462"/>
    <w:rsid w:val="2513335E"/>
    <w:rsid w:val="25156BB8"/>
    <w:rsid w:val="251A4679"/>
    <w:rsid w:val="252217F3"/>
    <w:rsid w:val="25291D6C"/>
    <w:rsid w:val="253174D2"/>
    <w:rsid w:val="2534533D"/>
    <w:rsid w:val="253B5002"/>
    <w:rsid w:val="253C5676"/>
    <w:rsid w:val="2549684F"/>
    <w:rsid w:val="256242E5"/>
    <w:rsid w:val="256718FC"/>
    <w:rsid w:val="25685EAB"/>
    <w:rsid w:val="25754019"/>
    <w:rsid w:val="25804B6B"/>
    <w:rsid w:val="258424AE"/>
    <w:rsid w:val="25951FC5"/>
    <w:rsid w:val="25995819"/>
    <w:rsid w:val="25C26B32"/>
    <w:rsid w:val="25C31D9C"/>
    <w:rsid w:val="25DA0320"/>
    <w:rsid w:val="260E67FD"/>
    <w:rsid w:val="26154EB4"/>
    <w:rsid w:val="26202AAD"/>
    <w:rsid w:val="262057BF"/>
    <w:rsid w:val="265005E2"/>
    <w:rsid w:val="26540AA3"/>
    <w:rsid w:val="266F65F0"/>
    <w:rsid w:val="26760048"/>
    <w:rsid w:val="268D0EEE"/>
    <w:rsid w:val="26A90756"/>
    <w:rsid w:val="26AB5818"/>
    <w:rsid w:val="26BC4AD8"/>
    <w:rsid w:val="26C87541"/>
    <w:rsid w:val="26D76684"/>
    <w:rsid w:val="26D919F1"/>
    <w:rsid w:val="26DB2141"/>
    <w:rsid w:val="26DE174A"/>
    <w:rsid w:val="26E74AA2"/>
    <w:rsid w:val="26F81E01"/>
    <w:rsid w:val="271472F1"/>
    <w:rsid w:val="27194F8B"/>
    <w:rsid w:val="27391076"/>
    <w:rsid w:val="2739768B"/>
    <w:rsid w:val="273B094A"/>
    <w:rsid w:val="27402404"/>
    <w:rsid w:val="2747001E"/>
    <w:rsid w:val="27561C28"/>
    <w:rsid w:val="275A1718"/>
    <w:rsid w:val="277B168E"/>
    <w:rsid w:val="278516D8"/>
    <w:rsid w:val="27983E07"/>
    <w:rsid w:val="279D124D"/>
    <w:rsid w:val="279D1605"/>
    <w:rsid w:val="27BA6BDA"/>
    <w:rsid w:val="27D019DA"/>
    <w:rsid w:val="27D80DAB"/>
    <w:rsid w:val="27D94D34"/>
    <w:rsid w:val="27DA0163"/>
    <w:rsid w:val="27E2170E"/>
    <w:rsid w:val="280D0539"/>
    <w:rsid w:val="2813182D"/>
    <w:rsid w:val="28307258"/>
    <w:rsid w:val="28322D6E"/>
    <w:rsid w:val="283A32F8"/>
    <w:rsid w:val="283C37B7"/>
    <w:rsid w:val="28441B8F"/>
    <w:rsid w:val="28444ADA"/>
    <w:rsid w:val="284E0B51"/>
    <w:rsid w:val="285919D0"/>
    <w:rsid w:val="28625E9A"/>
    <w:rsid w:val="28831D9A"/>
    <w:rsid w:val="28860508"/>
    <w:rsid w:val="289126E2"/>
    <w:rsid w:val="289F02F3"/>
    <w:rsid w:val="28A349F9"/>
    <w:rsid w:val="28D635FE"/>
    <w:rsid w:val="28F96D0F"/>
    <w:rsid w:val="28FC0B42"/>
    <w:rsid w:val="29115E06"/>
    <w:rsid w:val="291504A4"/>
    <w:rsid w:val="29241954"/>
    <w:rsid w:val="29253660"/>
    <w:rsid w:val="29326B29"/>
    <w:rsid w:val="294E3480"/>
    <w:rsid w:val="2972783E"/>
    <w:rsid w:val="297312AC"/>
    <w:rsid w:val="29825EA9"/>
    <w:rsid w:val="298F1421"/>
    <w:rsid w:val="29912BED"/>
    <w:rsid w:val="29B56D83"/>
    <w:rsid w:val="29B639A3"/>
    <w:rsid w:val="29F26B95"/>
    <w:rsid w:val="29FA5FF7"/>
    <w:rsid w:val="2A005E7B"/>
    <w:rsid w:val="2A16744D"/>
    <w:rsid w:val="2A201228"/>
    <w:rsid w:val="2A205544"/>
    <w:rsid w:val="2A21557C"/>
    <w:rsid w:val="2A32072A"/>
    <w:rsid w:val="2A4E2AB2"/>
    <w:rsid w:val="2A814869"/>
    <w:rsid w:val="2A9211C9"/>
    <w:rsid w:val="2AED4651"/>
    <w:rsid w:val="2B136FBC"/>
    <w:rsid w:val="2B230073"/>
    <w:rsid w:val="2B2924BB"/>
    <w:rsid w:val="2B2A306E"/>
    <w:rsid w:val="2B2B764F"/>
    <w:rsid w:val="2B381E87"/>
    <w:rsid w:val="2B6F6391"/>
    <w:rsid w:val="2B793A04"/>
    <w:rsid w:val="2B8E1990"/>
    <w:rsid w:val="2B9B27DC"/>
    <w:rsid w:val="2BA2368E"/>
    <w:rsid w:val="2BBD04C8"/>
    <w:rsid w:val="2BCE1ED8"/>
    <w:rsid w:val="2BD80E5D"/>
    <w:rsid w:val="2BDE5160"/>
    <w:rsid w:val="2BE14602"/>
    <w:rsid w:val="2BE94E0B"/>
    <w:rsid w:val="2BF90788"/>
    <w:rsid w:val="2C16086B"/>
    <w:rsid w:val="2C251BC9"/>
    <w:rsid w:val="2C2E6CCF"/>
    <w:rsid w:val="2C4209CD"/>
    <w:rsid w:val="2C506C46"/>
    <w:rsid w:val="2C5A1872"/>
    <w:rsid w:val="2C635671"/>
    <w:rsid w:val="2C705613"/>
    <w:rsid w:val="2C7B6DFD"/>
    <w:rsid w:val="2C974875"/>
    <w:rsid w:val="2CBB564C"/>
    <w:rsid w:val="2CC66F08"/>
    <w:rsid w:val="2D0E34D2"/>
    <w:rsid w:val="2D216834"/>
    <w:rsid w:val="2D491EF1"/>
    <w:rsid w:val="2D5B1D46"/>
    <w:rsid w:val="2D5B7F98"/>
    <w:rsid w:val="2D5F7AEE"/>
    <w:rsid w:val="2D6904DB"/>
    <w:rsid w:val="2D92328E"/>
    <w:rsid w:val="2DB43204"/>
    <w:rsid w:val="2DB713F7"/>
    <w:rsid w:val="2DBE36F7"/>
    <w:rsid w:val="2DC25921"/>
    <w:rsid w:val="2DCB0E63"/>
    <w:rsid w:val="2DD64B53"/>
    <w:rsid w:val="2DFB239F"/>
    <w:rsid w:val="2E075A2A"/>
    <w:rsid w:val="2E092640"/>
    <w:rsid w:val="2E0C5E9C"/>
    <w:rsid w:val="2E1020BD"/>
    <w:rsid w:val="2E150C60"/>
    <w:rsid w:val="2E177A29"/>
    <w:rsid w:val="2E1D5793"/>
    <w:rsid w:val="2E2016DB"/>
    <w:rsid w:val="2E237CC3"/>
    <w:rsid w:val="2E2A1718"/>
    <w:rsid w:val="2E3F51C4"/>
    <w:rsid w:val="2E402CEA"/>
    <w:rsid w:val="2E552C39"/>
    <w:rsid w:val="2E591249"/>
    <w:rsid w:val="2E6102A1"/>
    <w:rsid w:val="2E6F0AA5"/>
    <w:rsid w:val="2E772BB0"/>
    <w:rsid w:val="2E8E614B"/>
    <w:rsid w:val="2E8F18CB"/>
    <w:rsid w:val="2E9848D4"/>
    <w:rsid w:val="2E9C4236"/>
    <w:rsid w:val="2F0957D2"/>
    <w:rsid w:val="2F1033BF"/>
    <w:rsid w:val="2F105236"/>
    <w:rsid w:val="2F164660"/>
    <w:rsid w:val="2F177EEF"/>
    <w:rsid w:val="2F1F004A"/>
    <w:rsid w:val="2F2621F0"/>
    <w:rsid w:val="2F5925DB"/>
    <w:rsid w:val="2F5C6FFF"/>
    <w:rsid w:val="2F6D7B0F"/>
    <w:rsid w:val="2F776BDF"/>
    <w:rsid w:val="2F7C5FA4"/>
    <w:rsid w:val="2F7F673C"/>
    <w:rsid w:val="2F8F3F29"/>
    <w:rsid w:val="2FB15C4D"/>
    <w:rsid w:val="2FBE480E"/>
    <w:rsid w:val="2FC105A1"/>
    <w:rsid w:val="2FCC3367"/>
    <w:rsid w:val="2FCD67FF"/>
    <w:rsid w:val="2FDB716E"/>
    <w:rsid w:val="2FDD42EC"/>
    <w:rsid w:val="2FE72750"/>
    <w:rsid w:val="2FEA3AD0"/>
    <w:rsid w:val="2FFD70E5"/>
    <w:rsid w:val="300F0BC6"/>
    <w:rsid w:val="3014746B"/>
    <w:rsid w:val="304C3BC8"/>
    <w:rsid w:val="305C7020"/>
    <w:rsid w:val="305D0052"/>
    <w:rsid w:val="3078676B"/>
    <w:rsid w:val="308C2216"/>
    <w:rsid w:val="309243C0"/>
    <w:rsid w:val="30955CD4"/>
    <w:rsid w:val="30A14A15"/>
    <w:rsid w:val="30A527CB"/>
    <w:rsid w:val="30A61108"/>
    <w:rsid w:val="30AB4D93"/>
    <w:rsid w:val="30AE38E8"/>
    <w:rsid w:val="30AF2A2D"/>
    <w:rsid w:val="30B9372A"/>
    <w:rsid w:val="30C81DC9"/>
    <w:rsid w:val="30CE30FC"/>
    <w:rsid w:val="30DD2A72"/>
    <w:rsid w:val="30E25BAB"/>
    <w:rsid w:val="30F001BE"/>
    <w:rsid w:val="30F911EE"/>
    <w:rsid w:val="310D4EE4"/>
    <w:rsid w:val="312A215B"/>
    <w:rsid w:val="31434FCB"/>
    <w:rsid w:val="318625CD"/>
    <w:rsid w:val="318908BB"/>
    <w:rsid w:val="31A96CEF"/>
    <w:rsid w:val="31C26FA9"/>
    <w:rsid w:val="31D75713"/>
    <w:rsid w:val="31EB31CE"/>
    <w:rsid w:val="320329AC"/>
    <w:rsid w:val="321F6F3E"/>
    <w:rsid w:val="322F772F"/>
    <w:rsid w:val="323D5EBE"/>
    <w:rsid w:val="323E7977"/>
    <w:rsid w:val="326835EA"/>
    <w:rsid w:val="32755BEE"/>
    <w:rsid w:val="32786EF6"/>
    <w:rsid w:val="327C2483"/>
    <w:rsid w:val="328045F4"/>
    <w:rsid w:val="32C65EB4"/>
    <w:rsid w:val="32EC4A32"/>
    <w:rsid w:val="32F01183"/>
    <w:rsid w:val="32F4505C"/>
    <w:rsid w:val="32F56799"/>
    <w:rsid w:val="32FA0C59"/>
    <w:rsid w:val="330B1B18"/>
    <w:rsid w:val="330C5891"/>
    <w:rsid w:val="33437504"/>
    <w:rsid w:val="335A2AA0"/>
    <w:rsid w:val="33631954"/>
    <w:rsid w:val="337B19F6"/>
    <w:rsid w:val="337C377F"/>
    <w:rsid w:val="33922921"/>
    <w:rsid w:val="339733AC"/>
    <w:rsid w:val="339E0BDF"/>
    <w:rsid w:val="33A855B9"/>
    <w:rsid w:val="33B91A50"/>
    <w:rsid w:val="33E10EB4"/>
    <w:rsid w:val="33E707E2"/>
    <w:rsid w:val="33EF2932"/>
    <w:rsid w:val="33F407FF"/>
    <w:rsid w:val="33F653EF"/>
    <w:rsid w:val="3402116D"/>
    <w:rsid w:val="34082364"/>
    <w:rsid w:val="340E1B81"/>
    <w:rsid w:val="34164F91"/>
    <w:rsid w:val="3416648C"/>
    <w:rsid w:val="346278A6"/>
    <w:rsid w:val="34680F84"/>
    <w:rsid w:val="34713F61"/>
    <w:rsid w:val="34825E0A"/>
    <w:rsid w:val="348363C8"/>
    <w:rsid w:val="34963664"/>
    <w:rsid w:val="34AB6348"/>
    <w:rsid w:val="34AE061D"/>
    <w:rsid w:val="34C94BA4"/>
    <w:rsid w:val="34E62056"/>
    <w:rsid w:val="34EE34A0"/>
    <w:rsid w:val="34F8431E"/>
    <w:rsid w:val="3513027C"/>
    <w:rsid w:val="351B1DBB"/>
    <w:rsid w:val="352B43EE"/>
    <w:rsid w:val="35354043"/>
    <w:rsid w:val="353A1272"/>
    <w:rsid w:val="354D6418"/>
    <w:rsid w:val="355F0861"/>
    <w:rsid w:val="355F16DE"/>
    <w:rsid w:val="3560099A"/>
    <w:rsid w:val="356B1211"/>
    <w:rsid w:val="35754F59"/>
    <w:rsid w:val="357B204A"/>
    <w:rsid w:val="359327BC"/>
    <w:rsid w:val="35A3072E"/>
    <w:rsid w:val="35AB4203"/>
    <w:rsid w:val="35B53FBD"/>
    <w:rsid w:val="35B54FC1"/>
    <w:rsid w:val="35FB0A81"/>
    <w:rsid w:val="361138EA"/>
    <w:rsid w:val="361A255F"/>
    <w:rsid w:val="36270129"/>
    <w:rsid w:val="36274FEC"/>
    <w:rsid w:val="364C4922"/>
    <w:rsid w:val="36790EE7"/>
    <w:rsid w:val="36851BE2"/>
    <w:rsid w:val="368700F1"/>
    <w:rsid w:val="369A2E37"/>
    <w:rsid w:val="369B31B3"/>
    <w:rsid w:val="369D33CF"/>
    <w:rsid w:val="36A4475E"/>
    <w:rsid w:val="36AE1139"/>
    <w:rsid w:val="36B9755C"/>
    <w:rsid w:val="36C0536F"/>
    <w:rsid w:val="36CA53FD"/>
    <w:rsid w:val="36D07BFD"/>
    <w:rsid w:val="36D93CDC"/>
    <w:rsid w:val="36DA0180"/>
    <w:rsid w:val="36E36908"/>
    <w:rsid w:val="36E97312"/>
    <w:rsid w:val="36EA579A"/>
    <w:rsid w:val="36F40202"/>
    <w:rsid w:val="36FF0751"/>
    <w:rsid w:val="37076A9B"/>
    <w:rsid w:val="37217B5C"/>
    <w:rsid w:val="37310A0F"/>
    <w:rsid w:val="37375C91"/>
    <w:rsid w:val="373A0948"/>
    <w:rsid w:val="373A0C1E"/>
    <w:rsid w:val="37482187"/>
    <w:rsid w:val="37531CE0"/>
    <w:rsid w:val="37691503"/>
    <w:rsid w:val="379D11DA"/>
    <w:rsid w:val="379D1BF7"/>
    <w:rsid w:val="37A5083F"/>
    <w:rsid w:val="37AB3D80"/>
    <w:rsid w:val="37B50E0D"/>
    <w:rsid w:val="37BC7885"/>
    <w:rsid w:val="37C14211"/>
    <w:rsid w:val="38035A5A"/>
    <w:rsid w:val="380C3D81"/>
    <w:rsid w:val="384265B4"/>
    <w:rsid w:val="384B0C09"/>
    <w:rsid w:val="385C1BD2"/>
    <w:rsid w:val="3869241B"/>
    <w:rsid w:val="38855EC9"/>
    <w:rsid w:val="389F6DB0"/>
    <w:rsid w:val="38B32BDD"/>
    <w:rsid w:val="38BD5663"/>
    <w:rsid w:val="38D155B2"/>
    <w:rsid w:val="38DE320D"/>
    <w:rsid w:val="38F3172B"/>
    <w:rsid w:val="39042A36"/>
    <w:rsid w:val="3929696B"/>
    <w:rsid w:val="39331DC9"/>
    <w:rsid w:val="39390772"/>
    <w:rsid w:val="393C5175"/>
    <w:rsid w:val="393D0552"/>
    <w:rsid w:val="394C69E7"/>
    <w:rsid w:val="394F02CB"/>
    <w:rsid w:val="39607F31"/>
    <w:rsid w:val="39657B4A"/>
    <w:rsid w:val="396E5A71"/>
    <w:rsid w:val="398208CC"/>
    <w:rsid w:val="398E279D"/>
    <w:rsid w:val="3995462E"/>
    <w:rsid w:val="39A849EE"/>
    <w:rsid w:val="39C11183"/>
    <w:rsid w:val="39DE1D35"/>
    <w:rsid w:val="39E41315"/>
    <w:rsid w:val="39E4571D"/>
    <w:rsid w:val="39F65EAE"/>
    <w:rsid w:val="3A0D261A"/>
    <w:rsid w:val="3A136366"/>
    <w:rsid w:val="3A1879D8"/>
    <w:rsid w:val="3A1F234D"/>
    <w:rsid w:val="3A296D28"/>
    <w:rsid w:val="3A310F1A"/>
    <w:rsid w:val="3A325BDD"/>
    <w:rsid w:val="3A417A65"/>
    <w:rsid w:val="3AA074E7"/>
    <w:rsid w:val="3AD41A9E"/>
    <w:rsid w:val="3ADF71D3"/>
    <w:rsid w:val="3AEA2BEF"/>
    <w:rsid w:val="3AEA4709"/>
    <w:rsid w:val="3AED3A1B"/>
    <w:rsid w:val="3AEF7F72"/>
    <w:rsid w:val="3AF92B9E"/>
    <w:rsid w:val="3B0D21A6"/>
    <w:rsid w:val="3B0F5F1E"/>
    <w:rsid w:val="3B283915"/>
    <w:rsid w:val="3B2950FC"/>
    <w:rsid w:val="3B2A74E8"/>
    <w:rsid w:val="3B312338"/>
    <w:rsid w:val="3B4846E0"/>
    <w:rsid w:val="3B4D741C"/>
    <w:rsid w:val="3B6811EF"/>
    <w:rsid w:val="3B7423A4"/>
    <w:rsid w:val="3B812491"/>
    <w:rsid w:val="3B877BE0"/>
    <w:rsid w:val="3B91375B"/>
    <w:rsid w:val="3B9528C7"/>
    <w:rsid w:val="3B9A612F"/>
    <w:rsid w:val="3BC27434"/>
    <w:rsid w:val="3BC97B24"/>
    <w:rsid w:val="3BEE1FD7"/>
    <w:rsid w:val="3BF704EF"/>
    <w:rsid w:val="3C0072BF"/>
    <w:rsid w:val="3C090BBF"/>
    <w:rsid w:val="3C101B8D"/>
    <w:rsid w:val="3C2D7D35"/>
    <w:rsid w:val="3C636521"/>
    <w:rsid w:val="3C827F43"/>
    <w:rsid w:val="3C875FA1"/>
    <w:rsid w:val="3CAB1901"/>
    <w:rsid w:val="3CCD6091"/>
    <w:rsid w:val="3CCF005B"/>
    <w:rsid w:val="3CD32AD1"/>
    <w:rsid w:val="3CEC29BB"/>
    <w:rsid w:val="3CED6733"/>
    <w:rsid w:val="3D006466"/>
    <w:rsid w:val="3D250FBF"/>
    <w:rsid w:val="3D307460"/>
    <w:rsid w:val="3D40563C"/>
    <w:rsid w:val="3D4C5207"/>
    <w:rsid w:val="3D6936DA"/>
    <w:rsid w:val="3D6F7A43"/>
    <w:rsid w:val="3D8A61EC"/>
    <w:rsid w:val="3D944092"/>
    <w:rsid w:val="3DAE2EBA"/>
    <w:rsid w:val="3DBD7EB3"/>
    <w:rsid w:val="3DBE2C48"/>
    <w:rsid w:val="3DC94AAA"/>
    <w:rsid w:val="3DCA65AE"/>
    <w:rsid w:val="3DDE560B"/>
    <w:rsid w:val="3DEB2C72"/>
    <w:rsid w:val="3DFD6502"/>
    <w:rsid w:val="3DFF04CC"/>
    <w:rsid w:val="3E0E070F"/>
    <w:rsid w:val="3E1B53BA"/>
    <w:rsid w:val="3E231556"/>
    <w:rsid w:val="3E52684D"/>
    <w:rsid w:val="3E530BDC"/>
    <w:rsid w:val="3E587436"/>
    <w:rsid w:val="3E5959D1"/>
    <w:rsid w:val="3E733B27"/>
    <w:rsid w:val="3E7E7642"/>
    <w:rsid w:val="3E9E5F37"/>
    <w:rsid w:val="3EB968CD"/>
    <w:rsid w:val="3ECF7E9E"/>
    <w:rsid w:val="3EE5199B"/>
    <w:rsid w:val="3F14777F"/>
    <w:rsid w:val="3F327A47"/>
    <w:rsid w:val="3F3A565B"/>
    <w:rsid w:val="3F3D7BE8"/>
    <w:rsid w:val="3F4F7231"/>
    <w:rsid w:val="3F543A30"/>
    <w:rsid w:val="3F5C3A3A"/>
    <w:rsid w:val="3F6525B0"/>
    <w:rsid w:val="3F6F2427"/>
    <w:rsid w:val="3F7E3672"/>
    <w:rsid w:val="3FEE4AF6"/>
    <w:rsid w:val="40416418"/>
    <w:rsid w:val="407B1E42"/>
    <w:rsid w:val="40880C4C"/>
    <w:rsid w:val="408A0B36"/>
    <w:rsid w:val="409D0FEC"/>
    <w:rsid w:val="409E1999"/>
    <w:rsid w:val="40CD665F"/>
    <w:rsid w:val="40D272E2"/>
    <w:rsid w:val="40D66AB0"/>
    <w:rsid w:val="40E91500"/>
    <w:rsid w:val="40EA6776"/>
    <w:rsid w:val="410445B6"/>
    <w:rsid w:val="4104473A"/>
    <w:rsid w:val="410E65CB"/>
    <w:rsid w:val="413A60CE"/>
    <w:rsid w:val="413C4A27"/>
    <w:rsid w:val="41430B9E"/>
    <w:rsid w:val="41594397"/>
    <w:rsid w:val="41597EF3"/>
    <w:rsid w:val="41636FC4"/>
    <w:rsid w:val="41712728"/>
    <w:rsid w:val="4177481D"/>
    <w:rsid w:val="41780CC1"/>
    <w:rsid w:val="417967E7"/>
    <w:rsid w:val="41A53138"/>
    <w:rsid w:val="41A84E5D"/>
    <w:rsid w:val="41AC44C7"/>
    <w:rsid w:val="41C538FC"/>
    <w:rsid w:val="41FB1041"/>
    <w:rsid w:val="4205007B"/>
    <w:rsid w:val="42197A02"/>
    <w:rsid w:val="423D7815"/>
    <w:rsid w:val="423F533B"/>
    <w:rsid w:val="424612E6"/>
    <w:rsid w:val="42500FB3"/>
    <w:rsid w:val="42593669"/>
    <w:rsid w:val="425D3A13"/>
    <w:rsid w:val="42B01F00"/>
    <w:rsid w:val="42C77B4C"/>
    <w:rsid w:val="42CC2AEC"/>
    <w:rsid w:val="42DE22B0"/>
    <w:rsid w:val="42E02820"/>
    <w:rsid w:val="42E8078C"/>
    <w:rsid w:val="42E8763B"/>
    <w:rsid w:val="42EA174A"/>
    <w:rsid w:val="43140575"/>
    <w:rsid w:val="431E7646"/>
    <w:rsid w:val="432361CC"/>
    <w:rsid w:val="433F136A"/>
    <w:rsid w:val="43487E47"/>
    <w:rsid w:val="437E72A1"/>
    <w:rsid w:val="4399653F"/>
    <w:rsid w:val="43A23DD3"/>
    <w:rsid w:val="43A70C6D"/>
    <w:rsid w:val="43CD6469"/>
    <w:rsid w:val="43E02496"/>
    <w:rsid w:val="43E51F65"/>
    <w:rsid w:val="43F62371"/>
    <w:rsid w:val="440D7822"/>
    <w:rsid w:val="440F5D26"/>
    <w:rsid w:val="44185E43"/>
    <w:rsid w:val="44256232"/>
    <w:rsid w:val="444A72E6"/>
    <w:rsid w:val="444E3F5B"/>
    <w:rsid w:val="44590106"/>
    <w:rsid w:val="446C618F"/>
    <w:rsid w:val="447A29DA"/>
    <w:rsid w:val="447F00CA"/>
    <w:rsid w:val="44B042CE"/>
    <w:rsid w:val="44B6565C"/>
    <w:rsid w:val="44BE2E8F"/>
    <w:rsid w:val="44D73F50"/>
    <w:rsid w:val="44DE6A49"/>
    <w:rsid w:val="44E87F0C"/>
    <w:rsid w:val="450D1720"/>
    <w:rsid w:val="45230F44"/>
    <w:rsid w:val="452A10DD"/>
    <w:rsid w:val="45386828"/>
    <w:rsid w:val="453F49C1"/>
    <w:rsid w:val="45570BED"/>
    <w:rsid w:val="455E3D2A"/>
    <w:rsid w:val="458829B4"/>
    <w:rsid w:val="458B0897"/>
    <w:rsid w:val="45BC6CA2"/>
    <w:rsid w:val="45BD7258"/>
    <w:rsid w:val="45C56DB0"/>
    <w:rsid w:val="45CC5137"/>
    <w:rsid w:val="45D109A0"/>
    <w:rsid w:val="45E066CF"/>
    <w:rsid w:val="45E43CB8"/>
    <w:rsid w:val="45EF323D"/>
    <w:rsid w:val="460B4D89"/>
    <w:rsid w:val="461B4141"/>
    <w:rsid w:val="46230C36"/>
    <w:rsid w:val="463B667D"/>
    <w:rsid w:val="464150E7"/>
    <w:rsid w:val="464253F9"/>
    <w:rsid w:val="46426D37"/>
    <w:rsid w:val="465B64BB"/>
    <w:rsid w:val="465F1E65"/>
    <w:rsid w:val="46677BA8"/>
    <w:rsid w:val="46761EE9"/>
    <w:rsid w:val="468B1CD2"/>
    <w:rsid w:val="46BF5A44"/>
    <w:rsid w:val="46C95B1B"/>
    <w:rsid w:val="46D257FF"/>
    <w:rsid w:val="47120193"/>
    <w:rsid w:val="471536E9"/>
    <w:rsid w:val="47170634"/>
    <w:rsid w:val="472D5710"/>
    <w:rsid w:val="47307948"/>
    <w:rsid w:val="476967B6"/>
    <w:rsid w:val="477379C1"/>
    <w:rsid w:val="478A2CA5"/>
    <w:rsid w:val="47B2020E"/>
    <w:rsid w:val="47B40579"/>
    <w:rsid w:val="47BF5828"/>
    <w:rsid w:val="48036E0A"/>
    <w:rsid w:val="48044449"/>
    <w:rsid w:val="480C07C6"/>
    <w:rsid w:val="481132D5"/>
    <w:rsid w:val="48142DC6"/>
    <w:rsid w:val="481E3C44"/>
    <w:rsid w:val="48213FAF"/>
    <w:rsid w:val="483313C5"/>
    <w:rsid w:val="483E6778"/>
    <w:rsid w:val="4846779D"/>
    <w:rsid w:val="485736FE"/>
    <w:rsid w:val="485B5539"/>
    <w:rsid w:val="48705D28"/>
    <w:rsid w:val="487B1097"/>
    <w:rsid w:val="48897310"/>
    <w:rsid w:val="48AD200E"/>
    <w:rsid w:val="48B83745"/>
    <w:rsid w:val="48C039AD"/>
    <w:rsid w:val="48C92302"/>
    <w:rsid w:val="48D32C81"/>
    <w:rsid w:val="48D77B56"/>
    <w:rsid w:val="48D83DF3"/>
    <w:rsid w:val="48DB38E3"/>
    <w:rsid w:val="48DD765B"/>
    <w:rsid w:val="48E374F8"/>
    <w:rsid w:val="48EB7FCA"/>
    <w:rsid w:val="48F54560"/>
    <w:rsid w:val="48F6071D"/>
    <w:rsid w:val="48FB5D34"/>
    <w:rsid w:val="4906790C"/>
    <w:rsid w:val="49257074"/>
    <w:rsid w:val="495048AC"/>
    <w:rsid w:val="496025C5"/>
    <w:rsid w:val="49777AB0"/>
    <w:rsid w:val="497A30FC"/>
    <w:rsid w:val="498B02B0"/>
    <w:rsid w:val="49940662"/>
    <w:rsid w:val="499E34F4"/>
    <w:rsid w:val="49B87F49"/>
    <w:rsid w:val="49BA174B"/>
    <w:rsid w:val="49DC3D54"/>
    <w:rsid w:val="49DC79F6"/>
    <w:rsid w:val="49E43FAC"/>
    <w:rsid w:val="49EC224C"/>
    <w:rsid w:val="4A200202"/>
    <w:rsid w:val="4A2512BA"/>
    <w:rsid w:val="4A29189B"/>
    <w:rsid w:val="4A3459A1"/>
    <w:rsid w:val="4A3D2AA8"/>
    <w:rsid w:val="4A3D67CF"/>
    <w:rsid w:val="4A45195C"/>
    <w:rsid w:val="4A643CC6"/>
    <w:rsid w:val="4A783AE0"/>
    <w:rsid w:val="4A804742"/>
    <w:rsid w:val="4A866B6A"/>
    <w:rsid w:val="4A88543B"/>
    <w:rsid w:val="4AAE19D8"/>
    <w:rsid w:val="4AC607AE"/>
    <w:rsid w:val="4AD81CB9"/>
    <w:rsid w:val="4AEA7D65"/>
    <w:rsid w:val="4AF22FD6"/>
    <w:rsid w:val="4AF96DA6"/>
    <w:rsid w:val="4B2F3056"/>
    <w:rsid w:val="4B335C59"/>
    <w:rsid w:val="4B3D0885"/>
    <w:rsid w:val="4B3D6AD7"/>
    <w:rsid w:val="4B3F0159"/>
    <w:rsid w:val="4B6E6C91"/>
    <w:rsid w:val="4BA601D9"/>
    <w:rsid w:val="4BCB527C"/>
    <w:rsid w:val="4BDA424C"/>
    <w:rsid w:val="4C325F10"/>
    <w:rsid w:val="4C431ECB"/>
    <w:rsid w:val="4C643CC8"/>
    <w:rsid w:val="4CA2556B"/>
    <w:rsid w:val="4CBA0738"/>
    <w:rsid w:val="4CC27294"/>
    <w:rsid w:val="4CEC60BF"/>
    <w:rsid w:val="4CF6579A"/>
    <w:rsid w:val="4D060528"/>
    <w:rsid w:val="4D084097"/>
    <w:rsid w:val="4D0A29E9"/>
    <w:rsid w:val="4D0A4797"/>
    <w:rsid w:val="4D11750E"/>
    <w:rsid w:val="4D197E75"/>
    <w:rsid w:val="4D2E492A"/>
    <w:rsid w:val="4D386C53"/>
    <w:rsid w:val="4D3D22A1"/>
    <w:rsid w:val="4D4C3D63"/>
    <w:rsid w:val="4D571ED4"/>
    <w:rsid w:val="4D723B59"/>
    <w:rsid w:val="4D7907E3"/>
    <w:rsid w:val="4D8C3B5D"/>
    <w:rsid w:val="4DA84DB3"/>
    <w:rsid w:val="4DAC60E7"/>
    <w:rsid w:val="4DD76D6F"/>
    <w:rsid w:val="4DD92AE7"/>
    <w:rsid w:val="4DE71420"/>
    <w:rsid w:val="4DF02183"/>
    <w:rsid w:val="4DF0398D"/>
    <w:rsid w:val="4E241889"/>
    <w:rsid w:val="4E2C19B4"/>
    <w:rsid w:val="4E2E3285"/>
    <w:rsid w:val="4E4767DD"/>
    <w:rsid w:val="4E4F1509"/>
    <w:rsid w:val="4E5C54C6"/>
    <w:rsid w:val="4E61488B"/>
    <w:rsid w:val="4E856354"/>
    <w:rsid w:val="4E9078E9"/>
    <w:rsid w:val="4E965A98"/>
    <w:rsid w:val="4EA74993"/>
    <w:rsid w:val="4ED06F8E"/>
    <w:rsid w:val="4EF90150"/>
    <w:rsid w:val="4EFD57A9"/>
    <w:rsid w:val="4F1638C7"/>
    <w:rsid w:val="4F231B40"/>
    <w:rsid w:val="4F390909"/>
    <w:rsid w:val="4F5368C9"/>
    <w:rsid w:val="4F840831"/>
    <w:rsid w:val="4F8E16AF"/>
    <w:rsid w:val="4F8E4DE3"/>
    <w:rsid w:val="4F9653D6"/>
    <w:rsid w:val="4F9C7B5B"/>
    <w:rsid w:val="4FA113E3"/>
    <w:rsid w:val="4FC60842"/>
    <w:rsid w:val="4FD64FE1"/>
    <w:rsid w:val="4FE90FDC"/>
    <w:rsid w:val="50451975"/>
    <w:rsid w:val="505731E7"/>
    <w:rsid w:val="50680152"/>
    <w:rsid w:val="507A1C34"/>
    <w:rsid w:val="509251CF"/>
    <w:rsid w:val="50A54F03"/>
    <w:rsid w:val="50AB003F"/>
    <w:rsid w:val="50B213CE"/>
    <w:rsid w:val="50B45146"/>
    <w:rsid w:val="50C96139"/>
    <w:rsid w:val="50CE26AB"/>
    <w:rsid w:val="50D409BE"/>
    <w:rsid w:val="50E541B6"/>
    <w:rsid w:val="50FD4D3F"/>
    <w:rsid w:val="51556929"/>
    <w:rsid w:val="51621135"/>
    <w:rsid w:val="517F6B4B"/>
    <w:rsid w:val="51883523"/>
    <w:rsid w:val="519173A5"/>
    <w:rsid w:val="51B64EEE"/>
    <w:rsid w:val="51B834A4"/>
    <w:rsid w:val="51B964EB"/>
    <w:rsid w:val="51C4760A"/>
    <w:rsid w:val="51D27F79"/>
    <w:rsid w:val="51E67581"/>
    <w:rsid w:val="51E732F9"/>
    <w:rsid w:val="51EC35AD"/>
    <w:rsid w:val="520D7459"/>
    <w:rsid w:val="521573E3"/>
    <w:rsid w:val="5219483C"/>
    <w:rsid w:val="522B768A"/>
    <w:rsid w:val="52333AA7"/>
    <w:rsid w:val="524644C3"/>
    <w:rsid w:val="524F3E95"/>
    <w:rsid w:val="525363D9"/>
    <w:rsid w:val="525555BB"/>
    <w:rsid w:val="52695C4D"/>
    <w:rsid w:val="528A29A0"/>
    <w:rsid w:val="52992845"/>
    <w:rsid w:val="52A35A10"/>
    <w:rsid w:val="52AD62F0"/>
    <w:rsid w:val="52C41A8F"/>
    <w:rsid w:val="52D32C59"/>
    <w:rsid w:val="52DA54E7"/>
    <w:rsid w:val="52DE46FC"/>
    <w:rsid w:val="52E2243E"/>
    <w:rsid w:val="52F42171"/>
    <w:rsid w:val="53166490"/>
    <w:rsid w:val="531E7F25"/>
    <w:rsid w:val="53206AC2"/>
    <w:rsid w:val="532145E9"/>
    <w:rsid w:val="53230361"/>
    <w:rsid w:val="5337266C"/>
    <w:rsid w:val="535920E8"/>
    <w:rsid w:val="537B0257"/>
    <w:rsid w:val="538750F4"/>
    <w:rsid w:val="53901E9A"/>
    <w:rsid w:val="539E1985"/>
    <w:rsid w:val="53A44BEF"/>
    <w:rsid w:val="53A5380C"/>
    <w:rsid w:val="53AE40CE"/>
    <w:rsid w:val="53C42A66"/>
    <w:rsid w:val="53C5766A"/>
    <w:rsid w:val="53D310CB"/>
    <w:rsid w:val="53DA7ECF"/>
    <w:rsid w:val="53EB5326"/>
    <w:rsid w:val="5402441A"/>
    <w:rsid w:val="541044C4"/>
    <w:rsid w:val="541C54DC"/>
    <w:rsid w:val="541F321E"/>
    <w:rsid w:val="5423496B"/>
    <w:rsid w:val="546C1687"/>
    <w:rsid w:val="547630C3"/>
    <w:rsid w:val="547A6ACB"/>
    <w:rsid w:val="548C0FB1"/>
    <w:rsid w:val="548E7F1D"/>
    <w:rsid w:val="548F2152"/>
    <w:rsid w:val="549239F0"/>
    <w:rsid w:val="54B03E76"/>
    <w:rsid w:val="54B43966"/>
    <w:rsid w:val="54B73456"/>
    <w:rsid w:val="54DB6439"/>
    <w:rsid w:val="54EC71F1"/>
    <w:rsid w:val="54EF0E42"/>
    <w:rsid w:val="55004DFD"/>
    <w:rsid w:val="55180875"/>
    <w:rsid w:val="551E34D6"/>
    <w:rsid w:val="552310BB"/>
    <w:rsid w:val="5529453F"/>
    <w:rsid w:val="553B4087"/>
    <w:rsid w:val="55472A2C"/>
    <w:rsid w:val="554C4D25"/>
    <w:rsid w:val="55560EC1"/>
    <w:rsid w:val="555D5DAC"/>
    <w:rsid w:val="556F788D"/>
    <w:rsid w:val="557D4386"/>
    <w:rsid w:val="55983288"/>
    <w:rsid w:val="55BC0DCB"/>
    <w:rsid w:val="55CF6A22"/>
    <w:rsid w:val="55DD34AB"/>
    <w:rsid w:val="55F304BE"/>
    <w:rsid w:val="55FA04EA"/>
    <w:rsid w:val="56092EF2"/>
    <w:rsid w:val="561A7DD0"/>
    <w:rsid w:val="56467810"/>
    <w:rsid w:val="564A1763"/>
    <w:rsid w:val="565674A4"/>
    <w:rsid w:val="56633896"/>
    <w:rsid w:val="56735197"/>
    <w:rsid w:val="569E0B1A"/>
    <w:rsid w:val="56A25A40"/>
    <w:rsid w:val="56AE14F9"/>
    <w:rsid w:val="56B129E1"/>
    <w:rsid w:val="56BB5B60"/>
    <w:rsid w:val="56C25692"/>
    <w:rsid w:val="56DB21DC"/>
    <w:rsid w:val="56EA18C1"/>
    <w:rsid w:val="56F94420"/>
    <w:rsid w:val="56FC2C3A"/>
    <w:rsid w:val="571728EA"/>
    <w:rsid w:val="571A56CB"/>
    <w:rsid w:val="57202AA2"/>
    <w:rsid w:val="572528F9"/>
    <w:rsid w:val="574A0494"/>
    <w:rsid w:val="57AD28EF"/>
    <w:rsid w:val="57BC5AB4"/>
    <w:rsid w:val="57BE4AFC"/>
    <w:rsid w:val="57CE405E"/>
    <w:rsid w:val="57E02CC4"/>
    <w:rsid w:val="57E13CEA"/>
    <w:rsid w:val="57FF13C3"/>
    <w:rsid w:val="580C1D0B"/>
    <w:rsid w:val="58177D80"/>
    <w:rsid w:val="58276B45"/>
    <w:rsid w:val="584D3B14"/>
    <w:rsid w:val="587D6765"/>
    <w:rsid w:val="589A10C5"/>
    <w:rsid w:val="58A41F44"/>
    <w:rsid w:val="58FD4339"/>
    <w:rsid w:val="59012FE4"/>
    <w:rsid w:val="5902026F"/>
    <w:rsid w:val="590A0DFE"/>
    <w:rsid w:val="590D5382"/>
    <w:rsid w:val="591168D4"/>
    <w:rsid w:val="5932754F"/>
    <w:rsid w:val="59524C9D"/>
    <w:rsid w:val="59564FFF"/>
    <w:rsid w:val="595C637A"/>
    <w:rsid w:val="596040BD"/>
    <w:rsid w:val="596925D6"/>
    <w:rsid w:val="598D123A"/>
    <w:rsid w:val="599D70BF"/>
    <w:rsid w:val="59AD307A"/>
    <w:rsid w:val="59D423B5"/>
    <w:rsid w:val="59D46859"/>
    <w:rsid w:val="5A137381"/>
    <w:rsid w:val="5A176945"/>
    <w:rsid w:val="5A274BDA"/>
    <w:rsid w:val="5A326B2F"/>
    <w:rsid w:val="5A372C69"/>
    <w:rsid w:val="5A415EDD"/>
    <w:rsid w:val="5A4532B2"/>
    <w:rsid w:val="5A5F471A"/>
    <w:rsid w:val="5A674732"/>
    <w:rsid w:val="5A881081"/>
    <w:rsid w:val="5A9A7A80"/>
    <w:rsid w:val="5AB81CD6"/>
    <w:rsid w:val="5AC2291F"/>
    <w:rsid w:val="5AD1756E"/>
    <w:rsid w:val="5ADF1BC9"/>
    <w:rsid w:val="5AE34FA5"/>
    <w:rsid w:val="5AEE1E26"/>
    <w:rsid w:val="5AF93CE8"/>
    <w:rsid w:val="5AFA2820"/>
    <w:rsid w:val="5B0F057E"/>
    <w:rsid w:val="5B353327"/>
    <w:rsid w:val="5B435A44"/>
    <w:rsid w:val="5B4E4D05"/>
    <w:rsid w:val="5B615ECA"/>
    <w:rsid w:val="5B6211E5"/>
    <w:rsid w:val="5B773940"/>
    <w:rsid w:val="5B7B51DE"/>
    <w:rsid w:val="5B863E88"/>
    <w:rsid w:val="5B876699"/>
    <w:rsid w:val="5B9C3001"/>
    <w:rsid w:val="5BA11084"/>
    <w:rsid w:val="5BC8419B"/>
    <w:rsid w:val="5BD62414"/>
    <w:rsid w:val="5BF907F8"/>
    <w:rsid w:val="5BFA649E"/>
    <w:rsid w:val="5C0A69D0"/>
    <w:rsid w:val="5C11169E"/>
    <w:rsid w:val="5C25339C"/>
    <w:rsid w:val="5C6B6A24"/>
    <w:rsid w:val="5C734107"/>
    <w:rsid w:val="5C776EDC"/>
    <w:rsid w:val="5C780E51"/>
    <w:rsid w:val="5C855BE8"/>
    <w:rsid w:val="5CBD748C"/>
    <w:rsid w:val="5CE943C9"/>
    <w:rsid w:val="5CF8285E"/>
    <w:rsid w:val="5D0B1B33"/>
    <w:rsid w:val="5D107BA8"/>
    <w:rsid w:val="5D1D4073"/>
    <w:rsid w:val="5D39444A"/>
    <w:rsid w:val="5D3F223B"/>
    <w:rsid w:val="5D4A598D"/>
    <w:rsid w:val="5D5977A1"/>
    <w:rsid w:val="5D5E0913"/>
    <w:rsid w:val="5D656145"/>
    <w:rsid w:val="5D755C5D"/>
    <w:rsid w:val="5D79574D"/>
    <w:rsid w:val="5D83499F"/>
    <w:rsid w:val="5D844204"/>
    <w:rsid w:val="5D861C18"/>
    <w:rsid w:val="5DA45399"/>
    <w:rsid w:val="5DA72503"/>
    <w:rsid w:val="5DB449D7"/>
    <w:rsid w:val="5DC30D1A"/>
    <w:rsid w:val="5DC73350"/>
    <w:rsid w:val="5DDB620B"/>
    <w:rsid w:val="5DEE2A72"/>
    <w:rsid w:val="5DFC1EDA"/>
    <w:rsid w:val="5E0D204F"/>
    <w:rsid w:val="5E0D38BC"/>
    <w:rsid w:val="5E1C372C"/>
    <w:rsid w:val="5E287173"/>
    <w:rsid w:val="5E394EDC"/>
    <w:rsid w:val="5E7423B8"/>
    <w:rsid w:val="5E7F7ED1"/>
    <w:rsid w:val="5E873E9A"/>
    <w:rsid w:val="5E930A90"/>
    <w:rsid w:val="5E9B16F3"/>
    <w:rsid w:val="5EA17159"/>
    <w:rsid w:val="5EA236A4"/>
    <w:rsid w:val="5EAC3900"/>
    <w:rsid w:val="5EBF3633"/>
    <w:rsid w:val="5EE32623"/>
    <w:rsid w:val="5F016A48"/>
    <w:rsid w:val="5F090D52"/>
    <w:rsid w:val="5F0D2493"/>
    <w:rsid w:val="5F1E0D13"/>
    <w:rsid w:val="5F252305"/>
    <w:rsid w:val="5F4B7053"/>
    <w:rsid w:val="5F6366B5"/>
    <w:rsid w:val="5F81383B"/>
    <w:rsid w:val="5F8D3732"/>
    <w:rsid w:val="5F97635E"/>
    <w:rsid w:val="5FA951A7"/>
    <w:rsid w:val="5FB92779"/>
    <w:rsid w:val="5FD52E52"/>
    <w:rsid w:val="5FE14C7D"/>
    <w:rsid w:val="5FEC21EC"/>
    <w:rsid w:val="5FFC51AF"/>
    <w:rsid w:val="600D038D"/>
    <w:rsid w:val="601312E9"/>
    <w:rsid w:val="60182240"/>
    <w:rsid w:val="602045A6"/>
    <w:rsid w:val="60243CC7"/>
    <w:rsid w:val="602709E4"/>
    <w:rsid w:val="603B41E2"/>
    <w:rsid w:val="603E4A2C"/>
    <w:rsid w:val="60433DF0"/>
    <w:rsid w:val="60471B32"/>
    <w:rsid w:val="60584385"/>
    <w:rsid w:val="60594E93"/>
    <w:rsid w:val="605E4BE5"/>
    <w:rsid w:val="60771379"/>
    <w:rsid w:val="607F2E50"/>
    <w:rsid w:val="60803C14"/>
    <w:rsid w:val="60934D78"/>
    <w:rsid w:val="609A21B5"/>
    <w:rsid w:val="60BD1DF5"/>
    <w:rsid w:val="60CB42E3"/>
    <w:rsid w:val="60E92BEA"/>
    <w:rsid w:val="613F280A"/>
    <w:rsid w:val="61594480"/>
    <w:rsid w:val="615F3904"/>
    <w:rsid w:val="61AB7F9F"/>
    <w:rsid w:val="61B94FDB"/>
    <w:rsid w:val="61C86CA3"/>
    <w:rsid w:val="61C90194"/>
    <w:rsid w:val="61CF0031"/>
    <w:rsid w:val="61D8378D"/>
    <w:rsid w:val="61EA4E6B"/>
    <w:rsid w:val="61ED7BB9"/>
    <w:rsid w:val="62103631"/>
    <w:rsid w:val="621814ED"/>
    <w:rsid w:val="62343AFB"/>
    <w:rsid w:val="62377985"/>
    <w:rsid w:val="625978FB"/>
    <w:rsid w:val="626C7523"/>
    <w:rsid w:val="626E187B"/>
    <w:rsid w:val="62703690"/>
    <w:rsid w:val="628A21AA"/>
    <w:rsid w:val="62917095"/>
    <w:rsid w:val="629B40F7"/>
    <w:rsid w:val="629E7A04"/>
    <w:rsid w:val="62A468BF"/>
    <w:rsid w:val="62AD7971"/>
    <w:rsid w:val="62C64DA7"/>
    <w:rsid w:val="62C92297"/>
    <w:rsid w:val="62D653F0"/>
    <w:rsid w:val="62E33669"/>
    <w:rsid w:val="62E713AB"/>
    <w:rsid w:val="62EC4C13"/>
    <w:rsid w:val="630B4513"/>
    <w:rsid w:val="63100901"/>
    <w:rsid w:val="6311168D"/>
    <w:rsid w:val="63237F33"/>
    <w:rsid w:val="632945FA"/>
    <w:rsid w:val="6329551F"/>
    <w:rsid w:val="63365E8E"/>
    <w:rsid w:val="63471E49"/>
    <w:rsid w:val="634D1C93"/>
    <w:rsid w:val="6361139C"/>
    <w:rsid w:val="636E5E0F"/>
    <w:rsid w:val="6395047F"/>
    <w:rsid w:val="639B6C9D"/>
    <w:rsid w:val="63AA487D"/>
    <w:rsid w:val="63B44A1D"/>
    <w:rsid w:val="63BF7C32"/>
    <w:rsid w:val="63CA5085"/>
    <w:rsid w:val="63D0272B"/>
    <w:rsid w:val="63DD10CA"/>
    <w:rsid w:val="63E8362C"/>
    <w:rsid w:val="63F21DB5"/>
    <w:rsid w:val="640B09DA"/>
    <w:rsid w:val="640B1A7C"/>
    <w:rsid w:val="6417657B"/>
    <w:rsid w:val="64195594"/>
    <w:rsid w:val="641E2BAA"/>
    <w:rsid w:val="641F5F79"/>
    <w:rsid w:val="642422A9"/>
    <w:rsid w:val="64480B65"/>
    <w:rsid w:val="6454268D"/>
    <w:rsid w:val="64616F3B"/>
    <w:rsid w:val="647867D0"/>
    <w:rsid w:val="648B7319"/>
    <w:rsid w:val="649938A7"/>
    <w:rsid w:val="64C33752"/>
    <w:rsid w:val="64C80D68"/>
    <w:rsid w:val="64CB79C8"/>
    <w:rsid w:val="64F658D5"/>
    <w:rsid w:val="64FB7E4E"/>
    <w:rsid w:val="651418DA"/>
    <w:rsid w:val="654F3237"/>
    <w:rsid w:val="655C6080"/>
    <w:rsid w:val="657F6250"/>
    <w:rsid w:val="65931376"/>
    <w:rsid w:val="65A60391"/>
    <w:rsid w:val="65B00F2F"/>
    <w:rsid w:val="65B55790"/>
    <w:rsid w:val="65BA2DA7"/>
    <w:rsid w:val="65BB267B"/>
    <w:rsid w:val="65D775FD"/>
    <w:rsid w:val="65E06A24"/>
    <w:rsid w:val="65FF6D0C"/>
    <w:rsid w:val="660404C6"/>
    <w:rsid w:val="661223FE"/>
    <w:rsid w:val="662841B4"/>
    <w:rsid w:val="66393E77"/>
    <w:rsid w:val="664B39FF"/>
    <w:rsid w:val="6650370B"/>
    <w:rsid w:val="66540B05"/>
    <w:rsid w:val="665C2E82"/>
    <w:rsid w:val="66811B16"/>
    <w:rsid w:val="66833654"/>
    <w:rsid w:val="66846F11"/>
    <w:rsid w:val="669E1924"/>
    <w:rsid w:val="66A01F9C"/>
    <w:rsid w:val="66BC3A20"/>
    <w:rsid w:val="66D41C46"/>
    <w:rsid w:val="66D67A67"/>
    <w:rsid w:val="66E75E1D"/>
    <w:rsid w:val="66EF4CD2"/>
    <w:rsid w:val="66F70A93"/>
    <w:rsid w:val="67044388"/>
    <w:rsid w:val="671D539B"/>
    <w:rsid w:val="674072DB"/>
    <w:rsid w:val="67545BDB"/>
    <w:rsid w:val="676A6106"/>
    <w:rsid w:val="676E3E49"/>
    <w:rsid w:val="67723A7B"/>
    <w:rsid w:val="67746F85"/>
    <w:rsid w:val="67902011"/>
    <w:rsid w:val="67A47598"/>
    <w:rsid w:val="67C71485"/>
    <w:rsid w:val="67C717AB"/>
    <w:rsid w:val="67DF62C5"/>
    <w:rsid w:val="67E067A2"/>
    <w:rsid w:val="67EE0AE5"/>
    <w:rsid w:val="67EE4F89"/>
    <w:rsid w:val="67F3141C"/>
    <w:rsid w:val="67F535E9"/>
    <w:rsid w:val="67FD51CC"/>
    <w:rsid w:val="68246BFD"/>
    <w:rsid w:val="683F7341"/>
    <w:rsid w:val="68536063"/>
    <w:rsid w:val="68580655"/>
    <w:rsid w:val="686360A0"/>
    <w:rsid w:val="686F60CA"/>
    <w:rsid w:val="68733660"/>
    <w:rsid w:val="6875637C"/>
    <w:rsid w:val="687F47D4"/>
    <w:rsid w:val="68A47B5C"/>
    <w:rsid w:val="68A610C0"/>
    <w:rsid w:val="68C31450"/>
    <w:rsid w:val="68D37ADC"/>
    <w:rsid w:val="68E33ABE"/>
    <w:rsid w:val="68E90D50"/>
    <w:rsid w:val="68F14D31"/>
    <w:rsid w:val="68FB795E"/>
    <w:rsid w:val="69146C72"/>
    <w:rsid w:val="694330B3"/>
    <w:rsid w:val="694766FF"/>
    <w:rsid w:val="695256BC"/>
    <w:rsid w:val="69586B5E"/>
    <w:rsid w:val="69653029"/>
    <w:rsid w:val="697509FA"/>
    <w:rsid w:val="697803C9"/>
    <w:rsid w:val="69821140"/>
    <w:rsid w:val="698B46D8"/>
    <w:rsid w:val="699E2FD1"/>
    <w:rsid w:val="69AE49D0"/>
    <w:rsid w:val="69CB488F"/>
    <w:rsid w:val="69DE36E3"/>
    <w:rsid w:val="69E816FB"/>
    <w:rsid w:val="69F04FE9"/>
    <w:rsid w:val="69F27F1B"/>
    <w:rsid w:val="69F51D64"/>
    <w:rsid w:val="69FA5E67"/>
    <w:rsid w:val="6A002C04"/>
    <w:rsid w:val="6A145931"/>
    <w:rsid w:val="6A175732"/>
    <w:rsid w:val="6A222ABC"/>
    <w:rsid w:val="6A486692"/>
    <w:rsid w:val="6A5437CA"/>
    <w:rsid w:val="6AA53F93"/>
    <w:rsid w:val="6AA67D9D"/>
    <w:rsid w:val="6AB2476B"/>
    <w:rsid w:val="6AEB1C4F"/>
    <w:rsid w:val="6AF65AB9"/>
    <w:rsid w:val="6AF9613B"/>
    <w:rsid w:val="6B014FD4"/>
    <w:rsid w:val="6B0C6E17"/>
    <w:rsid w:val="6B203E71"/>
    <w:rsid w:val="6B2F38EF"/>
    <w:rsid w:val="6B381289"/>
    <w:rsid w:val="6B3B1EE0"/>
    <w:rsid w:val="6B623209"/>
    <w:rsid w:val="6B6E700B"/>
    <w:rsid w:val="6B9D14F7"/>
    <w:rsid w:val="6BA2632C"/>
    <w:rsid w:val="6BA66953"/>
    <w:rsid w:val="6BCC55E2"/>
    <w:rsid w:val="6BDA1C3F"/>
    <w:rsid w:val="6BDC323E"/>
    <w:rsid w:val="6BE43DF9"/>
    <w:rsid w:val="6BE52C7C"/>
    <w:rsid w:val="6BE744F4"/>
    <w:rsid w:val="6BEC4054"/>
    <w:rsid w:val="6BF40694"/>
    <w:rsid w:val="6BF818B9"/>
    <w:rsid w:val="6BFF7765"/>
    <w:rsid w:val="6C0B576B"/>
    <w:rsid w:val="6C186A79"/>
    <w:rsid w:val="6C477BAB"/>
    <w:rsid w:val="6C542B4F"/>
    <w:rsid w:val="6C622C5F"/>
    <w:rsid w:val="6C7145C5"/>
    <w:rsid w:val="6CA9548B"/>
    <w:rsid w:val="6CC30793"/>
    <w:rsid w:val="6CDF2E58"/>
    <w:rsid w:val="6CF17B4C"/>
    <w:rsid w:val="6D022229"/>
    <w:rsid w:val="6D033285"/>
    <w:rsid w:val="6D042B59"/>
    <w:rsid w:val="6D212753"/>
    <w:rsid w:val="6D30394E"/>
    <w:rsid w:val="6D351EF1"/>
    <w:rsid w:val="6D4F2026"/>
    <w:rsid w:val="6D6D06FE"/>
    <w:rsid w:val="6DA13742"/>
    <w:rsid w:val="6DB236C4"/>
    <w:rsid w:val="6DD15A08"/>
    <w:rsid w:val="6DE13B8C"/>
    <w:rsid w:val="6DE52608"/>
    <w:rsid w:val="6DED5CB2"/>
    <w:rsid w:val="6DEE6DE5"/>
    <w:rsid w:val="6DF47D6C"/>
    <w:rsid w:val="6DF66946"/>
    <w:rsid w:val="6E0F1884"/>
    <w:rsid w:val="6E113954"/>
    <w:rsid w:val="6E1447EA"/>
    <w:rsid w:val="6E245261"/>
    <w:rsid w:val="6E292877"/>
    <w:rsid w:val="6E3B07FD"/>
    <w:rsid w:val="6E49116B"/>
    <w:rsid w:val="6EA65C70"/>
    <w:rsid w:val="6EAE462C"/>
    <w:rsid w:val="6EBF05B1"/>
    <w:rsid w:val="6EC24B65"/>
    <w:rsid w:val="6EC46A44"/>
    <w:rsid w:val="6ED24CBD"/>
    <w:rsid w:val="6ED3113D"/>
    <w:rsid w:val="6ED51899"/>
    <w:rsid w:val="6F1352D6"/>
    <w:rsid w:val="6F3C2F1C"/>
    <w:rsid w:val="6F467B0A"/>
    <w:rsid w:val="6F54601A"/>
    <w:rsid w:val="6F6036EA"/>
    <w:rsid w:val="6F60676D"/>
    <w:rsid w:val="6FC31439"/>
    <w:rsid w:val="6FDA6AB6"/>
    <w:rsid w:val="6FDB5DF3"/>
    <w:rsid w:val="6FE231F5"/>
    <w:rsid w:val="6FE4746C"/>
    <w:rsid w:val="6FEC1DAE"/>
    <w:rsid w:val="6FF66AE8"/>
    <w:rsid w:val="6FF944CB"/>
    <w:rsid w:val="70001CFE"/>
    <w:rsid w:val="703674CE"/>
    <w:rsid w:val="704F233D"/>
    <w:rsid w:val="705A140E"/>
    <w:rsid w:val="706A6832"/>
    <w:rsid w:val="706C2439"/>
    <w:rsid w:val="7073427E"/>
    <w:rsid w:val="707D384B"/>
    <w:rsid w:val="70891CF3"/>
    <w:rsid w:val="708C3591"/>
    <w:rsid w:val="70975DD8"/>
    <w:rsid w:val="70A408DB"/>
    <w:rsid w:val="70AE2749"/>
    <w:rsid w:val="70C90342"/>
    <w:rsid w:val="70F74EAF"/>
    <w:rsid w:val="71000FCE"/>
    <w:rsid w:val="710B101C"/>
    <w:rsid w:val="71241E95"/>
    <w:rsid w:val="71291C67"/>
    <w:rsid w:val="714F6236"/>
    <w:rsid w:val="71502811"/>
    <w:rsid w:val="71566079"/>
    <w:rsid w:val="71581C74"/>
    <w:rsid w:val="717F6C52"/>
    <w:rsid w:val="718570A2"/>
    <w:rsid w:val="71883E24"/>
    <w:rsid w:val="71A33B87"/>
    <w:rsid w:val="71C31235"/>
    <w:rsid w:val="71C471D8"/>
    <w:rsid w:val="71CA4371"/>
    <w:rsid w:val="71D065E1"/>
    <w:rsid w:val="71D945B4"/>
    <w:rsid w:val="71EB37EB"/>
    <w:rsid w:val="71EB4047"/>
    <w:rsid w:val="71F80EDE"/>
    <w:rsid w:val="720158B9"/>
    <w:rsid w:val="720B6055"/>
    <w:rsid w:val="721305EB"/>
    <w:rsid w:val="72181AAC"/>
    <w:rsid w:val="724B1BE2"/>
    <w:rsid w:val="72575F5F"/>
    <w:rsid w:val="725F5517"/>
    <w:rsid w:val="727147ED"/>
    <w:rsid w:val="72777687"/>
    <w:rsid w:val="729A6EF8"/>
    <w:rsid w:val="729E477D"/>
    <w:rsid w:val="72BA62A9"/>
    <w:rsid w:val="72DD00D4"/>
    <w:rsid w:val="72E90827"/>
    <w:rsid w:val="72FC67AC"/>
    <w:rsid w:val="730035C2"/>
    <w:rsid w:val="73033076"/>
    <w:rsid w:val="73165394"/>
    <w:rsid w:val="73372296"/>
    <w:rsid w:val="73484296"/>
    <w:rsid w:val="735D59A2"/>
    <w:rsid w:val="73612AB3"/>
    <w:rsid w:val="737650A4"/>
    <w:rsid w:val="738271D3"/>
    <w:rsid w:val="73971AE6"/>
    <w:rsid w:val="739D5893"/>
    <w:rsid w:val="73A11294"/>
    <w:rsid w:val="73AE605E"/>
    <w:rsid w:val="73C53042"/>
    <w:rsid w:val="73CA376B"/>
    <w:rsid w:val="73D10DFE"/>
    <w:rsid w:val="73D75F93"/>
    <w:rsid w:val="73E57241"/>
    <w:rsid w:val="74082FD3"/>
    <w:rsid w:val="740F4C80"/>
    <w:rsid w:val="74204F6A"/>
    <w:rsid w:val="74292673"/>
    <w:rsid w:val="743261FE"/>
    <w:rsid w:val="74352606"/>
    <w:rsid w:val="7443040B"/>
    <w:rsid w:val="74501E86"/>
    <w:rsid w:val="7475015D"/>
    <w:rsid w:val="74895A9B"/>
    <w:rsid w:val="74AA60C2"/>
    <w:rsid w:val="74C652C4"/>
    <w:rsid w:val="74D91F88"/>
    <w:rsid w:val="74DB1F41"/>
    <w:rsid w:val="74E21BA3"/>
    <w:rsid w:val="74F877C9"/>
    <w:rsid w:val="74FE5710"/>
    <w:rsid w:val="750C0BCD"/>
    <w:rsid w:val="751F26AB"/>
    <w:rsid w:val="75380996"/>
    <w:rsid w:val="75412B9C"/>
    <w:rsid w:val="754937FF"/>
    <w:rsid w:val="754A6890"/>
    <w:rsid w:val="755503F6"/>
    <w:rsid w:val="755A6385"/>
    <w:rsid w:val="757A2768"/>
    <w:rsid w:val="757F36C5"/>
    <w:rsid w:val="75875628"/>
    <w:rsid w:val="75952EE8"/>
    <w:rsid w:val="75A03D67"/>
    <w:rsid w:val="75A872AC"/>
    <w:rsid w:val="75B6023C"/>
    <w:rsid w:val="75C630A2"/>
    <w:rsid w:val="75F832A4"/>
    <w:rsid w:val="76050235"/>
    <w:rsid w:val="761C0F14"/>
    <w:rsid w:val="762878B8"/>
    <w:rsid w:val="763E70DC"/>
    <w:rsid w:val="764013A8"/>
    <w:rsid w:val="766915D6"/>
    <w:rsid w:val="76735B9E"/>
    <w:rsid w:val="76746FA2"/>
    <w:rsid w:val="76901AAD"/>
    <w:rsid w:val="76AC4D7A"/>
    <w:rsid w:val="76D41697"/>
    <w:rsid w:val="76D474B3"/>
    <w:rsid w:val="76D637B8"/>
    <w:rsid w:val="76F10667"/>
    <w:rsid w:val="76FE0619"/>
    <w:rsid w:val="77132317"/>
    <w:rsid w:val="77187810"/>
    <w:rsid w:val="774176A7"/>
    <w:rsid w:val="77515C03"/>
    <w:rsid w:val="776B3A09"/>
    <w:rsid w:val="778A4A35"/>
    <w:rsid w:val="77920159"/>
    <w:rsid w:val="779E0A00"/>
    <w:rsid w:val="77B5517C"/>
    <w:rsid w:val="77F82CAF"/>
    <w:rsid w:val="78056103"/>
    <w:rsid w:val="78163A14"/>
    <w:rsid w:val="78207581"/>
    <w:rsid w:val="782B3690"/>
    <w:rsid w:val="784E2738"/>
    <w:rsid w:val="78661E84"/>
    <w:rsid w:val="78762B5D"/>
    <w:rsid w:val="788F2480"/>
    <w:rsid w:val="78970D25"/>
    <w:rsid w:val="78B6564F"/>
    <w:rsid w:val="78D900B3"/>
    <w:rsid w:val="78F417FA"/>
    <w:rsid w:val="79172D80"/>
    <w:rsid w:val="79235960"/>
    <w:rsid w:val="79395A45"/>
    <w:rsid w:val="7942288F"/>
    <w:rsid w:val="79476981"/>
    <w:rsid w:val="798D4602"/>
    <w:rsid w:val="7993773F"/>
    <w:rsid w:val="79A22D39"/>
    <w:rsid w:val="79A82583"/>
    <w:rsid w:val="79B53B59"/>
    <w:rsid w:val="79B576B5"/>
    <w:rsid w:val="79D25E11"/>
    <w:rsid w:val="79D90939"/>
    <w:rsid w:val="79EB30D7"/>
    <w:rsid w:val="7A036672"/>
    <w:rsid w:val="7A0B3779"/>
    <w:rsid w:val="7A280E0F"/>
    <w:rsid w:val="7A2E485C"/>
    <w:rsid w:val="7A337B40"/>
    <w:rsid w:val="7A342CD0"/>
    <w:rsid w:val="7A404158"/>
    <w:rsid w:val="7A427F21"/>
    <w:rsid w:val="7A4647B1"/>
    <w:rsid w:val="7A4B7E77"/>
    <w:rsid w:val="7A4C2D4A"/>
    <w:rsid w:val="7A660CFF"/>
    <w:rsid w:val="7A747570"/>
    <w:rsid w:val="7A7B08FF"/>
    <w:rsid w:val="7A7C379F"/>
    <w:rsid w:val="7A8B6668"/>
    <w:rsid w:val="7A97325F"/>
    <w:rsid w:val="7AA77F02"/>
    <w:rsid w:val="7ABC15CC"/>
    <w:rsid w:val="7AD57BBA"/>
    <w:rsid w:val="7AD75FBE"/>
    <w:rsid w:val="7AEB7713"/>
    <w:rsid w:val="7AFD57B8"/>
    <w:rsid w:val="7B0A3A31"/>
    <w:rsid w:val="7B2745E3"/>
    <w:rsid w:val="7B500381"/>
    <w:rsid w:val="7B8C1362"/>
    <w:rsid w:val="7B9647DB"/>
    <w:rsid w:val="7BA14395"/>
    <w:rsid w:val="7BA641A2"/>
    <w:rsid w:val="7BC65BA9"/>
    <w:rsid w:val="7BCB31C0"/>
    <w:rsid w:val="7BD5403F"/>
    <w:rsid w:val="7BD92F92"/>
    <w:rsid w:val="7BF22E42"/>
    <w:rsid w:val="7BFD3595"/>
    <w:rsid w:val="7C0B06D2"/>
    <w:rsid w:val="7C2F7BF3"/>
    <w:rsid w:val="7C466CEA"/>
    <w:rsid w:val="7C4B2B74"/>
    <w:rsid w:val="7C864F31"/>
    <w:rsid w:val="7C9B68F5"/>
    <w:rsid w:val="7C9E3F6C"/>
    <w:rsid w:val="7CAF2AE1"/>
    <w:rsid w:val="7CC74B42"/>
    <w:rsid w:val="7CDE6F23"/>
    <w:rsid w:val="7CDF3280"/>
    <w:rsid w:val="7CE81B50"/>
    <w:rsid w:val="7D11554A"/>
    <w:rsid w:val="7D120FFA"/>
    <w:rsid w:val="7D1D4F36"/>
    <w:rsid w:val="7D2E53CE"/>
    <w:rsid w:val="7D4C0330"/>
    <w:rsid w:val="7D4D5E56"/>
    <w:rsid w:val="7D4F6073"/>
    <w:rsid w:val="7D5A0C9F"/>
    <w:rsid w:val="7D6F5DD2"/>
    <w:rsid w:val="7D853842"/>
    <w:rsid w:val="7D9630ED"/>
    <w:rsid w:val="7D9A4228"/>
    <w:rsid w:val="7DA4016C"/>
    <w:rsid w:val="7DAB7761"/>
    <w:rsid w:val="7DCF1E70"/>
    <w:rsid w:val="7DD4567E"/>
    <w:rsid w:val="7DEA0224"/>
    <w:rsid w:val="7DEA37BD"/>
    <w:rsid w:val="7DEA7F9A"/>
    <w:rsid w:val="7DED2741"/>
    <w:rsid w:val="7DED391C"/>
    <w:rsid w:val="7DEE7639"/>
    <w:rsid w:val="7E0E104D"/>
    <w:rsid w:val="7E241943"/>
    <w:rsid w:val="7E505BFE"/>
    <w:rsid w:val="7E5563EF"/>
    <w:rsid w:val="7E704F9D"/>
    <w:rsid w:val="7E767C88"/>
    <w:rsid w:val="7E7F3577"/>
    <w:rsid w:val="7EA324AB"/>
    <w:rsid w:val="7EB12FD8"/>
    <w:rsid w:val="7EBB39C0"/>
    <w:rsid w:val="7EC9511E"/>
    <w:rsid w:val="7ECD724F"/>
    <w:rsid w:val="7EE0291B"/>
    <w:rsid w:val="7EF106D3"/>
    <w:rsid w:val="7EF24F07"/>
    <w:rsid w:val="7EF872AE"/>
    <w:rsid w:val="7EFE6DF7"/>
    <w:rsid w:val="7F0C6FED"/>
    <w:rsid w:val="7F126040"/>
    <w:rsid w:val="7F160BF6"/>
    <w:rsid w:val="7F363046"/>
    <w:rsid w:val="7F382FB7"/>
    <w:rsid w:val="7F43111F"/>
    <w:rsid w:val="7F496161"/>
    <w:rsid w:val="7F4F2186"/>
    <w:rsid w:val="7F742891"/>
    <w:rsid w:val="7F8918FF"/>
    <w:rsid w:val="7F961D37"/>
    <w:rsid w:val="7FDD6547"/>
    <w:rsid w:val="7FF52F01"/>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kinsoku w:val="0"/>
      <w:wordWrap/>
      <w:overflowPunct/>
      <w:topLinePunct w:val="0"/>
      <w:autoSpaceDE/>
      <w:autoSpaceDN/>
      <w:bidi w:val="0"/>
      <w:adjustRightInd w:val="0"/>
      <w:snapToGrid w:val="0"/>
      <w:spacing w:line="360" w:lineRule="auto"/>
      <w:ind w:firstLine="1244" w:firstLineChars="200"/>
      <w:jc w:val="left"/>
      <w:textAlignment w:val="baseline"/>
    </w:pPr>
    <w:rPr>
      <w:rFonts w:ascii="Times New Roman" w:hAnsi="Times New Roman" w:eastAsia="宋体" w:cs="Arial"/>
      <w:snapToGrid w:val="0"/>
      <w:color w:val="000000"/>
      <w:kern w:val="0"/>
      <w:sz w:val="28"/>
      <w:szCs w:val="21"/>
      <w:lang w:val="en-US" w:eastAsia="zh-CN"/>
    </w:rPr>
  </w:style>
  <w:style w:type="paragraph" w:styleId="2">
    <w:name w:val="heading 1"/>
    <w:basedOn w:val="1"/>
    <w:next w:val="1"/>
    <w:link w:val="25"/>
    <w:qFormat/>
    <w:uiPriority w:val="0"/>
    <w:pPr>
      <w:keepNext/>
      <w:keepLines/>
      <w:spacing w:before="340" w:beforeLines="0" w:after="330" w:afterLines="0"/>
      <w:ind w:firstLine="0" w:firstLineChars="0"/>
      <w:jc w:val="center"/>
      <w:outlineLvl w:val="0"/>
    </w:pPr>
    <w:rPr>
      <w:rFonts w:eastAsia="黑体" w:cs="Times New Roman"/>
      <w:b/>
      <w:kern w:val="44"/>
      <w:sz w:val="32"/>
      <w:lang w:val="en-US" w:eastAsia="zh-CN"/>
    </w:rPr>
  </w:style>
  <w:style w:type="paragraph" w:styleId="3">
    <w:name w:val="heading 2"/>
    <w:basedOn w:val="1"/>
    <w:next w:val="1"/>
    <w:link w:val="22"/>
    <w:unhideWhenUsed/>
    <w:qFormat/>
    <w:uiPriority w:val="0"/>
    <w:pPr>
      <w:keepNext/>
      <w:keepLines/>
      <w:spacing w:afterLines="0"/>
      <w:ind w:firstLine="0" w:firstLineChars="0"/>
      <w:outlineLvl w:val="1"/>
    </w:pPr>
    <w:rPr>
      <w:rFonts w:ascii="Arial" w:hAnsi="Arial" w:eastAsia="宋体"/>
      <w:b/>
      <w:sz w:val="30"/>
      <w:lang w:val="en-US" w:eastAsia="zh-CN"/>
    </w:rPr>
  </w:style>
  <w:style w:type="paragraph" w:styleId="4">
    <w:name w:val="heading 3"/>
    <w:basedOn w:val="1"/>
    <w:next w:val="1"/>
    <w:unhideWhenUsed/>
    <w:qFormat/>
    <w:uiPriority w:val="0"/>
    <w:pPr>
      <w:keepNext/>
      <w:keepLines/>
      <w:spacing w:beforeAutospacing="0" w:afterAutospacing="0" w:line="360" w:lineRule="auto"/>
      <w:ind w:firstLine="0" w:firstLineChars="0"/>
      <w:outlineLvl w:val="2"/>
    </w:pPr>
    <w:rPr>
      <w:rFonts w:ascii="Times New Roman" w:hAnsi="Times New Roman" w:eastAsia="宋体"/>
      <w:b/>
      <w:sz w:val="28"/>
    </w:rPr>
  </w:style>
  <w:style w:type="paragraph" w:styleId="5">
    <w:name w:val="heading 4"/>
    <w:basedOn w:val="1"/>
    <w:next w:val="1"/>
    <w:unhideWhenUsed/>
    <w:qFormat/>
    <w:uiPriority w:val="0"/>
    <w:pPr>
      <w:keepNext/>
      <w:keepLines/>
      <w:spacing w:beforeLines="0" w:beforeAutospacing="0" w:afterLines="0" w:afterAutospacing="0" w:line="360" w:lineRule="auto"/>
      <w:ind w:firstLine="0" w:firstLineChars="0"/>
      <w:outlineLvl w:val="3"/>
    </w:pPr>
    <w:rPr>
      <w:rFonts w:ascii="Arial" w:hAnsi="Arial" w:eastAsia="宋体"/>
      <w:b/>
    </w:rPr>
  </w:style>
  <w:style w:type="character" w:default="1" w:styleId="19">
    <w:name w:val="Default Paragraph Font"/>
    <w:qFormat/>
    <w:uiPriority w:val="0"/>
    <w:rPr>
      <w:rFonts w:ascii="Times New Roman" w:hAnsi="Times New Roman" w:eastAsia="宋体" w:cs="Arial"/>
      <w:snapToGrid w:val="0"/>
      <w:color w:val="000000"/>
      <w:kern w:val="0"/>
      <w:sz w:val="24"/>
      <w:szCs w:val="21"/>
      <w:lang w:val="en-US" w:eastAsia="zh-CN"/>
    </w:rPr>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pPr>
  </w:style>
  <w:style w:type="paragraph" w:styleId="7">
    <w:name w:val="annotation text"/>
    <w:basedOn w:val="1"/>
    <w:qFormat/>
    <w:uiPriority w:val="0"/>
    <w:pPr>
      <w:jc w:val="left"/>
    </w:pPr>
  </w:style>
  <w:style w:type="paragraph" w:styleId="8">
    <w:name w:val="Body Text"/>
    <w:basedOn w:val="1"/>
    <w:unhideWhenUsed/>
    <w:qFormat/>
    <w:uiPriority w:val="99"/>
    <w:pPr>
      <w:spacing w:after="120"/>
    </w:pPr>
  </w:style>
  <w:style w:type="paragraph" w:styleId="9">
    <w:name w:val="Body Text Indent"/>
    <w:basedOn w:val="1"/>
    <w:next w:val="6"/>
    <w:qFormat/>
    <w:uiPriority w:val="0"/>
    <w:pPr>
      <w:spacing w:after="120" w:afterLines="0" w:afterAutospacing="0"/>
      <w:ind w:left="420" w:leftChars="200"/>
    </w:p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2"/>
    <w:basedOn w:val="9"/>
    <w:qFormat/>
    <w:uiPriority w:val="0"/>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标题 2 Char"/>
    <w:link w:val="3"/>
    <w:qFormat/>
    <w:uiPriority w:val="0"/>
    <w:rPr>
      <w:rFonts w:ascii="Arial" w:hAnsi="Arial" w:eastAsia="宋体" w:cs="Arial"/>
      <w:b/>
      <w:snapToGrid w:val="0"/>
      <w:color w:val="000000"/>
      <w:kern w:val="0"/>
      <w:sz w:val="30"/>
      <w:szCs w:val="21"/>
      <w:lang w:val="en-US" w:eastAsia="zh-CN"/>
    </w:rPr>
  </w:style>
  <w:style w:type="paragraph" w:customStyle="1" w:styleId="23">
    <w:name w:val="0正文"/>
    <w:basedOn w:val="9"/>
    <w:next w:val="12"/>
    <w:unhideWhenUsed/>
    <w:qFormat/>
    <w:uiPriority w:val="0"/>
    <w:pPr>
      <w:spacing w:line="300" w:lineRule="auto"/>
      <w:ind w:firstLine="480"/>
    </w:pPr>
  </w:style>
  <w:style w:type="table" w:customStyle="1" w:styleId="24">
    <w:name w:val="Table Normal"/>
    <w:semiHidden/>
    <w:unhideWhenUsed/>
    <w:qFormat/>
    <w:uiPriority w:val="0"/>
    <w:tblPr>
      <w:tblCellMar>
        <w:top w:w="0" w:type="dxa"/>
        <w:left w:w="0" w:type="dxa"/>
        <w:bottom w:w="0" w:type="dxa"/>
        <w:right w:w="0" w:type="dxa"/>
      </w:tblCellMar>
    </w:tblPr>
  </w:style>
  <w:style w:type="character" w:customStyle="1" w:styleId="25">
    <w:name w:val="标题 1 Char"/>
    <w:link w:val="2"/>
    <w:qFormat/>
    <w:uiPriority w:val="0"/>
    <w:rPr>
      <w:rFonts w:ascii="Times New Roman" w:hAnsi="Times New Roman" w:eastAsia="黑体" w:cs="Times New Roman"/>
      <w:b/>
      <w:snapToGrid w:val="0"/>
      <w:color w:val="000000"/>
      <w:kern w:val="44"/>
      <w:sz w:val="32"/>
      <w:szCs w:val="21"/>
      <w:lang w:val="en-US" w:eastAsia="zh-CN"/>
    </w:rPr>
  </w:style>
  <w:style w:type="paragraph" w:customStyle="1" w:styleId="26">
    <w:name w:val="表头"/>
    <w:basedOn w:val="1"/>
    <w:qFormat/>
    <w:uiPriority w:val="0"/>
    <w:pPr>
      <w:ind w:firstLine="0" w:firstLineChars="0"/>
      <w:jc w:val="center"/>
    </w:pPr>
    <w:rPr>
      <w:rFonts w:hint="eastAsia" w:ascii="Times New Roman" w:hAnsi="Times New Roman" w:eastAsia="宋体"/>
      <w:b/>
      <w:bCs/>
      <w:lang w:val="en-US" w:eastAsia="zh-CN"/>
    </w:rPr>
  </w:style>
  <w:style w:type="paragraph" w:customStyle="1" w:styleId="27">
    <w:name w:val="Table Text"/>
    <w:basedOn w:val="1"/>
    <w:qFormat/>
    <w:uiPriority w:val="0"/>
    <w:rPr>
      <w:rFonts w:ascii="宋体" w:eastAsia="宋体" w:cs="宋体"/>
      <w:sz w:val="24"/>
      <w:szCs w:val="24"/>
      <w:lang w:val="en-US" w:bidi="ar-SA"/>
    </w:rPr>
  </w:style>
  <w:style w:type="paragraph" w:customStyle="1" w:styleId="28">
    <w:name w:val="样式1"/>
    <w:basedOn w:val="1"/>
    <w:qFormat/>
    <w:uiPriority w:val="0"/>
    <w:pPr>
      <w:spacing w:line="360" w:lineRule="auto"/>
      <w:ind w:firstLineChars="200"/>
      <w:outlineLvl w:val="1"/>
    </w:pPr>
    <w:rPr>
      <w:rFonts w:ascii="仿宋" w:hAnsi="仿宋" w:eastAsia="仿宋" w:cs="仿宋"/>
      <w:color w:val="auto"/>
      <w:kern w:val="0"/>
      <w:sz w:val="24"/>
      <w:highlight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microsoft.com/office/2006/relationships/keyMapCustomizations" Target="customizations.xml"/><Relationship Id="rId25" Type="http://schemas.openxmlformats.org/officeDocument/2006/relationships/customXml" Target="../customXml/item1.xml"/><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5722</Words>
  <Characters>6551</Characters>
  <Lines>0</Lines>
  <Paragraphs>0</Paragraphs>
  <TotalTime>2</TotalTime>
  <ScaleCrop>false</ScaleCrop>
  <LinksUpToDate>false</LinksUpToDate>
  <CharactersWithSpaces>7122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2023-05-12T18:59:00Z</dcterms:created>
  <dc:creator>羊驼bilibibo</dc:creator>
  <cp:lastModifiedBy>奔跑的路灯</cp:lastModifiedBy>
  <cp:lastPrinted>2024-04-15T16:37:00Z</cp:lastPrinted>
  <dcterms:modified xsi:type="dcterms:W3CDTF">2025-08-21T02:42:38Z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29C1230064FC434FB05F05BA7AB0B4F5_13</vt:lpwstr>
  </property>
  <property fmtid="{D5CDD505-2E9C-101B-9397-08002B2CF9AE}" pid="4" name="KSOTemplateDocerSaveRecord">
    <vt:lpwstr>eyJoZGlkIjoiYWQzY2YxODI5MjJhMzYwNDcyOTJmNGUzYTBjZDhiZGMiLCJ1c2VySWQiOiIzMzM2NTM0ODAifQ==</vt:lpwstr>
  </property>
</Properties>
</file>