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292" w:lineRule="auto"/>
        <w:ind w:right="1496"/>
        <w:jc w:val="right"/>
        <w:outlineLvl w:val="5"/>
        <w:rPr>
          <w:rFonts w:ascii="黑体" w:hAnsi="黑体" w:eastAsia="黑体" w:cs="黑体"/>
          <w:kern w:val="0"/>
          <w:sz w:val="28"/>
          <w:szCs w:val="28"/>
        </w:rPr>
      </w:pPr>
      <w:r>
        <w:rPr>
          <w:rFonts w:hint="eastAsia" w:ascii="黑体" w:hAnsi="黑体" w:eastAsia="黑体" w:cs="黑体"/>
          <w:kern w:val="0"/>
          <w:sz w:val="28"/>
          <w:szCs w:val="28"/>
        </w:rPr>
        <w:t>本溪市国省干线公路养护第三方专业化巡查服务</w:t>
      </w:r>
    </w:p>
    <w:p>
      <w:pPr>
        <w:autoSpaceDE w:val="0"/>
        <w:autoSpaceDN w:val="0"/>
        <w:spacing w:line="292" w:lineRule="auto"/>
        <w:ind w:right="2616"/>
        <w:jc w:val="center"/>
        <w:outlineLvl w:val="5"/>
        <w:rPr>
          <w:rFonts w:ascii="黑体" w:hAnsi="黑体" w:eastAsia="黑体" w:cs="黑体"/>
          <w:kern w:val="0"/>
          <w:sz w:val="28"/>
          <w:szCs w:val="28"/>
        </w:rPr>
      </w:pPr>
      <w:r>
        <w:rPr>
          <w:rFonts w:hint="eastAsia" w:ascii="黑体" w:hAnsi="黑体" w:eastAsia="黑体" w:cs="黑体"/>
          <w:kern w:val="0"/>
          <w:sz w:val="28"/>
          <w:szCs w:val="28"/>
        </w:rPr>
        <w:t xml:space="preserve">                  招标</w:t>
      </w:r>
      <w:r>
        <w:rPr>
          <w:rFonts w:ascii="黑体" w:hAnsi="黑体" w:eastAsia="黑体" w:cs="黑体"/>
          <w:kern w:val="0"/>
          <w:sz w:val="28"/>
          <w:szCs w:val="28"/>
        </w:rPr>
        <w:t>公告</w:t>
      </w:r>
    </w:p>
    <w:p>
      <w:pPr>
        <w:numPr>
          <w:ilvl w:val="0"/>
          <w:numId w:val="1"/>
        </w:numPr>
        <w:tabs>
          <w:tab w:val="left" w:pos="589"/>
        </w:tabs>
        <w:autoSpaceDE w:val="0"/>
        <w:autoSpaceDN w:val="0"/>
        <w:spacing w:before="176"/>
        <w:ind w:hanging="350"/>
        <w:jc w:val="left"/>
        <w:outlineLvl w:val="5"/>
        <w:rPr>
          <w:rFonts w:ascii="黑体" w:hAnsi="黑体" w:eastAsia="黑体" w:cs="黑体"/>
          <w:kern w:val="0"/>
          <w:sz w:val="28"/>
          <w:szCs w:val="28"/>
          <w:lang w:eastAsia="en-US"/>
        </w:rPr>
      </w:pPr>
      <w:bookmarkStart w:id="0" w:name="1._招标条件"/>
      <w:bookmarkEnd w:id="0"/>
      <w:bookmarkStart w:id="1" w:name="_bookmark1"/>
      <w:bookmarkEnd w:id="1"/>
      <w:r>
        <w:rPr>
          <w:rFonts w:ascii="黑体" w:hAnsi="黑体" w:eastAsia="黑体" w:cs="黑体"/>
          <w:spacing w:val="-2"/>
          <w:kern w:val="0"/>
          <w:sz w:val="28"/>
          <w:szCs w:val="28"/>
          <w:lang w:eastAsia="en-US"/>
        </w:rPr>
        <w:t>招标条件</w:t>
      </w:r>
    </w:p>
    <w:p>
      <w:pPr>
        <w:autoSpaceDE w:val="0"/>
        <w:autoSpaceDN w:val="0"/>
        <w:spacing w:line="343" w:lineRule="auto"/>
        <w:ind w:left="238" w:right="118" w:firstLine="480"/>
        <w:jc w:val="left"/>
        <w:rPr>
          <w:rFonts w:ascii="宋体" w:hAnsi="宋体" w:eastAsia="宋体" w:cs="宋体"/>
          <w:kern w:val="0"/>
          <w:sz w:val="24"/>
          <w:szCs w:val="24"/>
        </w:rPr>
      </w:pPr>
      <w:bookmarkStart w:id="2" w:name="_Hlk156126442"/>
      <w:r>
        <w:rPr>
          <w:rFonts w:hint="eastAsia" w:ascii="宋体" w:hAnsi="宋体" w:eastAsia="宋体" w:cs="宋体"/>
          <w:kern w:val="0"/>
          <w:sz w:val="24"/>
          <w:szCs w:val="24"/>
          <w:u w:val="single"/>
        </w:rPr>
        <w:t>本溪市国省干线公路养护第三方专业化巡查服务</w:t>
      </w:r>
      <w:r>
        <w:rPr>
          <w:rFonts w:ascii="宋体" w:hAnsi="宋体" w:eastAsia="宋体" w:cs="宋体"/>
          <w:kern w:val="0"/>
          <w:sz w:val="24"/>
          <w:szCs w:val="24"/>
          <w:u w:val="single"/>
        </w:rPr>
        <w:t>（</w:t>
      </w:r>
      <w:r>
        <w:rPr>
          <w:rFonts w:ascii="宋体" w:hAnsi="宋体" w:eastAsia="宋体" w:cs="宋体"/>
          <w:spacing w:val="-1"/>
          <w:kern w:val="0"/>
          <w:sz w:val="24"/>
          <w:szCs w:val="24"/>
        </w:rPr>
        <w:t>以下称为“本项目”</w:t>
      </w:r>
      <w:r>
        <w:rPr>
          <w:rFonts w:ascii="宋体" w:hAnsi="宋体" w:eastAsia="宋体" w:cs="宋体"/>
          <w:spacing w:val="-9"/>
          <w:kern w:val="0"/>
          <w:sz w:val="24"/>
          <w:szCs w:val="24"/>
        </w:rPr>
        <w:t>）</w:t>
      </w:r>
      <w:r>
        <w:rPr>
          <w:rFonts w:ascii="宋体" w:hAnsi="宋体" w:eastAsia="宋体" w:cs="Times New Roman"/>
          <w:kern w:val="0"/>
          <w:sz w:val="24"/>
          <w:szCs w:val="24"/>
        </w:rPr>
        <w:t xml:space="preserve"> 已由</w:t>
      </w:r>
      <w:r>
        <w:rPr>
          <w:rFonts w:hint="eastAsia" w:ascii="宋体" w:hAnsi="宋体" w:eastAsia="宋体" w:cs="Times New Roman"/>
          <w:kern w:val="0"/>
          <w:sz w:val="24"/>
          <w:szCs w:val="24"/>
          <w:u w:val="single"/>
        </w:rPr>
        <w:t>辽宁省交通运输厅以《辽宁省交通运输厅关于下达2023年全省普通国省道等重点公路生产建设投资计划（第一批）的通知》（辽交规划【2023】14号）</w:t>
      </w:r>
      <w:r>
        <w:rPr>
          <w:rFonts w:hint="eastAsia" w:ascii="宋体" w:hAnsi="宋体" w:eastAsia="宋体" w:cs="Times New Roman"/>
          <w:kern w:val="0"/>
          <w:sz w:val="24"/>
          <w:szCs w:val="24"/>
        </w:rPr>
        <w:t>批准建设</w:t>
      </w:r>
      <w:r>
        <w:rPr>
          <w:rFonts w:ascii="宋体" w:hAnsi="宋体" w:eastAsia="宋体" w:cs="宋体"/>
          <w:kern w:val="0"/>
          <w:sz w:val="24"/>
          <w:szCs w:val="24"/>
        </w:rPr>
        <w:t>，资金来自</w:t>
      </w:r>
      <w:r>
        <w:rPr>
          <w:rFonts w:ascii="宋体" w:hAnsi="宋体" w:eastAsia="宋体" w:cs="Times New Roman"/>
          <w:kern w:val="0"/>
          <w:sz w:val="24"/>
          <w:szCs w:val="24"/>
          <w:u w:val="single"/>
        </w:rPr>
        <w:t>省级资金</w:t>
      </w:r>
      <w:r>
        <w:rPr>
          <w:rFonts w:ascii="宋体" w:hAnsi="宋体" w:eastAsia="宋体" w:cs="宋体"/>
          <w:kern w:val="0"/>
          <w:sz w:val="24"/>
          <w:szCs w:val="24"/>
        </w:rPr>
        <w:t>，本项目招标人为</w:t>
      </w:r>
      <w:r>
        <w:rPr>
          <w:rFonts w:ascii="宋体" w:hAnsi="宋体" w:eastAsia="宋体" w:cs="宋体"/>
          <w:kern w:val="0"/>
          <w:sz w:val="24"/>
          <w:szCs w:val="24"/>
          <w:u w:val="single"/>
        </w:rPr>
        <w:t xml:space="preserve"> 本溪市交通事业发展服务中心（</w:t>
      </w:r>
      <w:r>
        <w:rPr>
          <w:rFonts w:ascii="宋体" w:hAnsi="宋体" w:eastAsia="宋体" w:cs="宋体"/>
          <w:spacing w:val="-4"/>
          <w:kern w:val="0"/>
          <w:sz w:val="24"/>
          <w:szCs w:val="24"/>
        </w:rPr>
        <w:t>以下称为“招标人”</w:t>
      </w:r>
      <w:r>
        <w:rPr>
          <w:rFonts w:ascii="宋体" w:hAnsi="宋体" w:eastAsia="宋体" w:cs="宋体"/>
          <w:spacing w:val="-29"/>
          <w:kern w:val="0"/>
          <w:sz w:val="24"/>
          <w:szCs w:val="24"/>
        </w:rPr>
        <w:t>）</w:t>
      </w:r>
      <w:r>
        <w:rPr>
          <w:rFonts w:ascii="宋体" w:hAnsi="宋体" w:eastAsia="宋体" w:cs="宋体"/>
          <w:spacing w:val="-6"/>
          <w:kern w:val="0"/>
          <w:sz w:val="24"/>
          <w:szCs w:val="24"/>
        </w:rPr>
        <w:t>，招标代理为</w:t>
      </w:r>
      <w:r>
        <w:rPr>
          <w:rFonts w:ascii="宋体" w:hAnsi="宋体" w:eastAsia="宋体" w:cs="宋体"/>
          <w:spacing w:val="-4"/>
          <w:kern w:val="0"/>
          <w:sz w:val="24"/>
          <w:szCs w:val="24"/>
          <w:u w:val="single"/>
        </w:rPr>
        <w:t xml:space="preserve"> 辽宁仁合项目管理有限公司 </w:t>
      </w:r>
      <w:r>
        <w:rPr>
          <w:rFonts w:ascii="宋体" w:hAnsi="宋体" w:eastAsia="宋体" w:cs="宋体"/>
          <w:kern w:val="0"/>
          <w:sz w:val="24"/>
          <w:szCs w:val="24"/>
          <w:u w:val="single"/>
        </w:rPr>
        <w:t>（</w:t>
      </w:r>
      <w:r>
        <w:rPr>
          <w:rFonts w:ascii="宋体" w:hAnsi="宋体" w:eastAsia="宋体" w:cs="宋体"/>
          <w:kern w:val="0"/>
          <w:sz w:val="24"/>
          <w:szCs w:val="24"/>
        </w:rPr>
        <w:t>以下称为“招标代理</w:t>
      </w:r>
      <w:r>
        <w:rPr>
          <w:rFonts w:ascii="宋体" w:hAnsi="宋体" w:eastAsia="宋体" w:cs="宋体"/>
          <w:spacing w:val="-8"/>
          <w:kern w:val="0"/>
          <w:sz w:val="24"/>
          <w:szCs w:val="24"/>
        </w:rPr>
        <w:t>”）</w:t>
      </w:r>
      <w:r>
        <w:rPr>
          <w:rFonts w:ascii="宋体" w:hAnsi="宋体" w:eastAsia="宋体" w:cs="宋体"/>
          <w:spacing w:val="-5"/>
          <w:kern w:val="0"/>
          <w:sz w:val="24"/>
          <w:szCs w:val="24"/>
        </w:rPr>
        <w:t>。项目已具备招标条件，现对本项目进行国内公开招标，并对投标人进行资格后审。</w:t>
      </w:r>
      <w:bookmarkEnd w:id="2"/>
    </w:p>
    <w:p>
      <w:pPr>
        <w:numPr>
          <w:ilvl w:val="0"/>
          <w:numId w:val="1"/>
        </w:numPr>
        <w:tabs>
          <w:tab w:val="left" w:pos="589"/>
        </w:tabs>
        <w:autoSpaceDE w:val="0"/>
        <w:autoSpaceDN w:val="0"/>
        <w:spacing w:before="132"/>
        <w:ind w:hanging="350"/>
        <w:jc w:val="left"/>
        <w:outlineLvl w:val="5"/>
        <w:rPr>
          <w:rFonts w:ascii="黑体" w:hAnsi="黑体" w:eastAsia="黑体" w:cs="黑体"/>
          <w:kern w:val="0"/>
          <w:sz w:val="28"/>
          <w:szCs w:val="28"/>
          <w:lang w:eastAsia="en-US"/>
        </w:rPr>
      </w:pPr>
      <w:bookmarkStart w:id="3" w:name="2._项目概况与招标范围"/>
      <w:bookmarkEnd w:id="3"/>
      <w:bookmarkStart w:id="4" w:name="_bookmark2"/>
      <w:bookmarkEnd w:id="4"/>
      <w:r>
        <w:rPr>
          <w:rFonts w:ascii="黑体" w:hAnsi="黑体" w:eastAsia="黑体" w:cs="黑体"/>
          <w:spacing w:val="-3"/>
          <w:kern w:val="0"/>
          <w:sz w:val="28"/>
          <w:szCs w:val="28"/>
          <w:lang w:eastAsia="en-US"/>
        </w:rPr>
        <w:t>项目概况与招标范围</w:t>
      </w:r>
    </w:p>
    <w:p>
      <w:pPr>
        <w:tabs>
          <w:tab w:val="left" w:pos="1124"/>
        </w:tabs>
        <w:autoSpaceDE w:val="0"/>
        <w:autoSpaceDN w:val="0"/>
        <w:ind w:firstLine="720" w:firstLineChars="300"/>
        <w:jc w:val="left"/>
        <w:rPr>
          <w:rFonts w:ascii="黑体" w:hAnsi="宋体" w:eastAsia="黑体" w:cs="宋体"/>
          <w:kern w:val="0"/>
          <w:sz w:val="24"/>
          <w:lang w:eastAsia="en-US"/>
        </w:rPr>
      </w:pPr>
      <w:bookmarkStart w:id="5" w:name="_Hlk156126535"/>
      <w:r>
        <w:rPr>
          <w:rFonts w:hint="eastAsia" w:ascii="黑体" w:hAnsi="宋体" w:eastAsia="黑体" w:cs="宋体"/>
          <w:kern w:val="0"/>
          <w:sz w:val="24"/>
        </w:rPr>
        <w:t>2.1</w:t>
      </w:r>
      <w:r>
        <w:rPr>
          <w:rFonts w:hint="eastAsia" w:ascii="黑体" w:hAnsi="宋体" w:eastAsia="黑体" w:cs="宋体"/>
          <w:kern w:val="0"/>
          <w:sz w:val="24"/>
          <w:lang w:eastAsia="en-US"/>
        </w:rPr>
        <w:t>项目概况</w:t>
      </w:r>
      <w:bookmarkEnd w:id="5"/>
    </w:p>
    <w:p>
      <w:pPr>
        <w:autoSpaceDE w:val="0"/>
        <w:autoSpaceDN w:val="0"/>
        <w:spacing w:line="343" w:lineRule="auto"/>
        <w:ind w:left="238" w:right="118" w:firstLine="480"/>
        <w:jc w:val="left"/>
        <w:rPr>
          <w:rFonts w:ascii="宋体" w:hAnsi="宋体" w:eastAsia="宋体" w:cs="宋体"/>
          <w:spacing w:val="-5"/>
          <w:kern w:val="0"/>
          <w:sz w:val="24"/>
          <w:szCs w:val="24"/>
        </w:rPr>
      </w:pPr>
      <w:bookmarkStart w:id="6" w:name="_Hlk156126495"/>
      <w:r>
        <w:rPr>
          <w:rFonts w:ascii="宋体" w:hAnsi="宋体" w:eastAsia="宋体" w:cs="宋体"/>
          <w:spacing w:val="-5"/>
          <w:kern w:val="0"/>
          <w:sz w:val="24"/>
          <w:szCs w:val="24"/>
        </w:rPr>
        <w:t>本溪市国省干线公路共13条/987.497公里，其中国道4条/480.922公里，省道9条/506.575公里。隧道14座/19490米，桥梁464座/25227延米，涵洞1895道。</w:t>
      </w:r>
      <w:bookmarkEnd w:id="6"/>
    </w:p>
    <w:p>
      <w:pPr>
        <w:widowControl/>
        <w:kinsoku w:val="0"/>
        <w:autoSpaceDE w:val="0"/>
        <w:autoSpaceDN w:val="0"/>
        <w:adjustRightInd w:val="0"/>
        <w:snapToGrid w:val="0"/>
        <w:spacing w:before="156" w:beforeLines="50" w:line="360" w:lineRule="auto"/>
        <w:jc w:val="center"/>
        <w:textAlignment w:val="baseline"/>
        <w:rPr>
          <w:rFonts w:ascii="Times New Roman" w:hAnsi="Times New Roman" w:eastAsia="黑体" w:cs="Times New Roman"/>
          <w:b/>
          <w:bCs/>
          <w:spacing w:val="-7"/>
          <w:kern w:val="0"/>
          <w:sz w:val="24"/>
          <w:szCs w:val="24"/>
        </w:rPr>
      </w:pPr>
      <w:bookmarkStart w:id="7" w:name="_Hlk156126516"/>
      <w:r>
        <w:rPr>
          <w:rFonts w:ascii="Times New Roman" w:hAnsi="Times New Roman" w:eastAsia="黑体" w:cs="Times New Roman"/>
          <w:b/>
          <w:bCs/>
          <w:spacing w:val="-7"/>
          <w:kern w:val="0"/>
          <w:sz w:val="24"/>
          <w:szCs w:val="24"/>
        </w:rPr>
        <w:t>本溪市国省干线公路概况</w:t>
      </w:r>
    </w:p>
    <w:tbl>
      <w:tblPr>
        <w:tblStyle w:val="25"/>
        <w:tblW w:w="9154" w:type="dxa"/>
        <w:tblInd w:w="125" w:type="dxa"/>
        <w:tblLayout w:type="fixed"/>
        <w:tblCellMar>
          <w:top w:w="0" w:type="dxa"/>
          <w:left w:w="108" w:type="dxa"/>
          <w:bottom w:w="0" w:type="dxa"/>
          <w:right w:w="108" w:type="dxa"/>
        </w:tblCellMar>
      </w:tblPr>
      <w:tblGrid>
        <w:gridCol w:w="696"/>
        <w:gridCol w:w="557"/>
        <w:gridCol w:w="568"/>
        <w:gridCol w:w="669"/>
        <w:gridCol w:w="790"/>
        <w:gridCol w:w="820"/>
        <w:gridCol w:w="639"/>
        <w:gridCol w:w="730"/>
        <w:gridCol w:w="879"/>
        <w:gridCol w:w="950"/>
        <w:gridCol w:w="1034"/>
        <w:gridCol w:w="822"/>
      </w:tblGrid>
      <w:tr>
        <w:tblPrEx>
          <w:tblCellMar>
            <w:top w:w="0" w:type="dxa"/>
            <w:left w:w="108" w:type="dxa"/>
            <w:bottom w:w="0" w:type="dxa"/>
            <w:right w:w="108" w:type="dxa"/>
          </w:tblCellMar>
        </w:tblPrEx>
        <w:trPr>
          <w:trHeight w:val="569" w:hRule="exac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路线</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序号</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代码</w:t>
            </w:r>
          </w:p>
        </w:tc>
        <w:tc>
          <w:tcPr>
            <w:tcW w:w="669" w:type="dxa"/>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线路</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名称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起点</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桩号</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止点</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桩号</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里程</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（km）</w:t>
            </w:r>
          </w:p>
        </w:tc>
        <w:tc>
          <w:tcPr>
            <w:tcW w:w="730" w:type="dxa"/>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县区</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里程</w:t>
            </w:r>
          </w:p>
        </w:tc>
        <w:tc>
          <w:tcPr>
            <w:tcW w:w="879" w:type="dxa"/>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线路</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里程</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起点</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地名</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止点</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地名</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管养</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单位</w:t>
            </w:r>
          </w:p>
        </w:tc>
      </w:tr>
      <w:tr>
        <w:tblPrEx>
          <w:tblCellMar>
            <w:top w:w="0" w:type="dxa"/>
            <w:left w:w="108" w:type="dxa"/>
            <w:bottom w:w="0" w:type="dxa"/>
            <w:right w:w="108" w:type="dxa"/>
          </w:tblCellMar>
        </w:tblPrEx>
        <w:trPr>
          <w:trHeight w:val="339" w:hRule="exact"/>
        </w:trPr>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国道</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 4条(4</w:t>
            </w:r>
            <w:r>
              <w:rPr>
                <w:rFonts w:hint="eastAsia" w:ascii="Times New Roman" w:hAnsi="Times New Roman" w:eastAsia="黑体" w:cs="Times New Roman"/>
                <w:kern w:val="0"/>
                <w:sz w:val="15"/>
                <w:szCs w:val="15"/>
              </w:rPr>
              <w:t>80.922</w:t>
            </w:r>
            <w:r>
              <w:rPr>
                <w:rFonts w:ascii="Times New Roman" w:hAnsi="Times New Roman" w:eastAsia="黑体" w:cs="Times New Roman"/>
                <w:kern w:val="0"/>
                <w:sz w:val="15"/>
                <w:szCs w:val="15"/>
              </w:rPr>
              <w:t>km)</w:t>
            </w:r>
          </w:p>
        </w:tc>
        <w:tc>
          <w:tcPr>
            <w:tcW w:w="557" w:type="dxa"/>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1</w:t>
            </w:r>
          </w:p>
        </w:tc>
        <w:tc>
          <w:tcPr>
            <w:tcW w:w="568"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G201</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鹤大线</w:t>
            </w:r>
          </w:p>
        </w:tc>
        <w:tc>
          <w:tcPr>
            <w:tcW w:w="79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1115.695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1204.312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88.617 </w:t>
            </w:r>
          </w:p>
        </w:tc>
        <w:tc>
          <w:tcPr>
            <w:tcW w:w="730"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88.617 </w:t>
            </w:r>
          </w:p>
        </w:tc>
        <w:tc>
          <w:tcPr>
            <w:tcW w:w="879"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88.617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缸山岭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坎川岭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2</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G229</w:t>
            </w:r>
          </w:p>
        </w:tc>
        <w:tc>
          <w:tcPr>
            <w:tcW w:w="669" w:type="dxa"/>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饶盖线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1487.640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1525.290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37.650 </w:t>
            </w:r>
          </w:p>
        </w:tc>
        <w:tc>
          <w:tcPr>
            <w:tcW w:w="73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37.650 </w:t>
            </w:r>
          </w:p>
        </w:tc>
        <w:tc>
          <w:tcPr>
            <w:tcW w:w="87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37.650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小夹河</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分水岭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G304</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丹霍线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118.798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147.736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28.938 </w:t>
            </w:r>
          </w:p>
        </w:tc>
        <w:tc>
          <w:tcPr>
            <w:tcW w:w="73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28.938 </w:t>
            </w:r>
          </w:p>
        </w:tc>
        <w:tc>
          <w:tcPr>
            <w:tcW w:w="879"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105.037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大黑山</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道匝子</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G304</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丹霍线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147.736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191.942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44.206 </w:t>
            </w:r>
          </w:p>
        </w:tc>
        <w:tc>
          <w:tcPr>
            <w:tcW w:w="730"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76.099 </w:t>
            </w: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道匝子</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千金岭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G304</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丹霍线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191.942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204.679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千金岭</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小堡</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G304</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丹霍线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204.679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236.572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31.893 </w:t>
            </w:r>
          </w:p>
        </w:tc>
        <w:tc>
          <w:tcPr>
            <w:tcW w:w="730"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候屯</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4</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G506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集本线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62.819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b/>
                <w:bCs/>
                <w:kern w:val="0"/>
                <w:sz w:val="15"/>
                <w:szCs w:val="15"/>
                <w:lang w:eastAsia="en-US"/>
              </w:rPr>
            </w:pPr>
            <w:r>
              <w:rPr>
                <w:rFonts w:ascii="Times New Roman" w:hAnsi="Times New Roman" w:eastAsia="黑体" w:cs="Times New Roman"/>
                <w:b/>
                <w:bCs/>
                <w:kern w:val="0"/>
                <w:sz w:val="15"/>
                <w:szCs w:val="15"/>
              </w:rPr>
              <w:t xml:space="preserve">126.161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63.342 </w:t>
            </w:r>
          </w:p>
        </w:tc>
        <w:tc>
          <w:tcPr>
            <w:tcW w:w="730" w:type="dxa"/>
            <w:vMerge w:val="restart"/>
            <w:tcBorders>
              <w:top w:val="single" w:color="000000" w:sz="8" w:space="0"/>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144.302 </w:t>
            </w:r>
          </w:p>
        </w:tc>
        <w:tc>
          <w:tcPr>
            <w:tcW w:w="879" w:type="dxa"/>
            <w:tcBorders>
              <w:top w:val="single" w:color="000000" w:sz="8" w:space="0"/>
              <w:left w:val="single" w:color="000000" w:sz="8" w:space="0"/>
              <w:bottom w:val="nil"/>
              <w:right w:val="single" w:color="000000" w:sz="8" w:space="0"/>
            </w:tcBorders>
            <w:shd w:val="clear" w:color="auto" w:fill="auto"/>
            <w:noWrap/>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挂牌岭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凤鸣隧道出口头</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G506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集本线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b/>
                <w:bCs/>
                <w:kern w:val="0"/>
                <w:sz w:val="15"/>
                <w:szCs w:val="15"/>
                <w:lang w:eastAsia="en-US"/>
              </w:rPr>
            </w:pPr>
            <w:r>
              <w:rPr>
                <w:rFonts w:ascii="Times New Roman" w:hAnsi="Times New Roman" w:eastAsia="黑体" w:cs="Times New Roman"/>
                <w:b/>
                <w:bCs/>
                <w:kern w:val="0"/>
                <w:sz w:val="15"/>
                <w:szCs w:val="15"/>
              </w:rPr>
              <w:t xml:space="preserve">131.847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140.544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8.697 </w:t>
            </w:r>
          </w:p>
        </w:tc>
        <w:tc>
          <w:tcPr>
            <w:tcW w:w="730" w:type="dxa"/>
            <w:vMerge w:val="continue"/>
            <w:tcBorders>
              <w:top w:val="single" w:color="000000" w:sz="8" w:space="0"/>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noWrap/>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凤鸣隧道出口头</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六合加油站</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G506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集本线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140.544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212.807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72.263 </w:t>
            </w:r>
          </w:p>
        </w:tc>
        <w:tc>
          <w:tcPr>
            <w:tcW w:w="730" w:type="dxa"/>
            <w:vMerge w:val="continue"/>
            <w:tcBorders>
              <w:top w:val="single" w:color="000000" w:sz="8" w:space="0"/>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noWrap/>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六合加油站</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大洼岭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G506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集本线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212.807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247.665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34.858 </w:t>
            </w:r>
          </w:p>
        </w:tc>
        <w:tc>
          <w:tcPr>
            <w:tcW w:w="730" w:type="dxa"/>
            <w:vMerge w:val="restart"/>
            <w:tcBorders>
              <w:top w:val="single" w:color="000000" w:sz="8" w:space="0"/>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88.224 </w:t>
            </w: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大洼岭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碱厂</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G506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集本线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247.665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248.204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vMerge w:val="continue"/>
            <w:tcBorders>
              <w:top w:val="single" w:color="000000" w:sz="8" w:space="0"/>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249.618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碱厂</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碱厂</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G506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集本线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248.204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b/>
                <w:bCs/>
                <w:kern w:val="0"/>
                <w:sz w:val="15"/>
                <w:szCs w:val="15"/>
                <w:lang w:eastAsia="en-US"/>
              </w:rPr>
            </w:pPr>
            <w:r>
              <w:rPr>
                <w:rFonts w:ascii="Times New Roman" w:hAnsi="Times New Roman" w:eastAsia="黑体" w:cs="Times New Roman"/>
                <w:b/>
                <w:bCs/>
                <w:kern w:val="0"/>
                <w:sz w:val="15"/>
                <w:szCs w:val="15"/>
              </w:rPr>
              <w:t xml:space="preserve">301.570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53.366 </w:t>
            </w:r>
          </w:p>
        </w:tc>
        <w:tc>
          <w:tcPr>
            <w:tcW w:w="730" w:type="dxa"/>
            <w:vMerge w:val="continue"/>
            <w:tcBorders>
              <w:top w:val="single" w:color="000000" w:sz="8" w:space="0"/>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碱厂</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三架岭隧道出口</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G506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集本线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b/>
                <w:bCs/>
                <w:kern w:val="0"/>
                <w:sz w:val="15"/>
                <w:szCs w:val="15"/>
                <w:lang w:eastAsia="en-US"/>
              </w:rPr>
            </w:pPr>
            <w:r>
              <w:rPr>
                <w:rFonts w:ascii="Times New Roman" w:hAnsi="Times New Roman" w:eastAsia="黑体" w:cs="Times New Roman"/>
                <w:b/>
                <w:bCs/>
                <w:kern w:val="0"/>
                <w:sz w:val="15"/>
                <w:szCs w:val="15"/>
              </w:rPr>
              <w:t xml:space="preserve">301.635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318.727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17.092 </w:t>
            </w:r>
          </w:p>
        </w:tc>
        <w:tc>
          <w:tcPr>
            <w:tcW w:w="730" w:type="dxa"/>
            <w:tcBorders>
              <w:top w:val="single" w:color="000000" w:sz="8" w:space="0"/>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17.092 </w:t>
            </w:r>
          </w:p>
        </w:tc>
        <w:tc>
          <w:tcPr>
            <w:tcW w:w="879"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三架岭隧道出口</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汽车四厂</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省道</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9条(</w:t>
            </w:r>
            <w:r>
              <w:rPr>
                <w:rFonts w:hint="eastAsia" w:ascii="Times New Roman" w:hAnsi="Times New Roman" w:eastAsia="黑体" w:cs="Times New Roman"/>
                <w:kern w:val="0"/>
                <w:sz w:val="15"/>
                <w:szCs w:val="15"/>
              </w:rPr>
              <w:t>506.575</w:t>
            </w:r>
            <w:r>
              <w:rPr>
                <w:rFonts w:ascii="Times New Roman" w:hAnsi="Times New Roman" w:eastAsia="黑体" w:cs="Times New Roman"/>
                <w:kern w:val="0"/>
                <w:sz w:val="15"/>
                <w:szCs w:val="15"/>
              </w:rPr>
              <w:t>km)</w:t>
            </w: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1</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S106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沈环线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61.928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87.738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25.810 </w:t>
            </w:r>
          </w:p>
        </w:tc>
        <w:tc>
          <w:tcPr>
            <w:tcW w:w="73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25.810 </w:t>
            </w: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43.295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高头岭</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三家子</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S106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沈环线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87.738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92.448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4.710 </w:t>
            </w:r>
          </w:p>
        </w:tc>
        <w:tc>
          <w:tcPr>
            <w:tcW w:w="730"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17.485 </w:t>
            </w: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三家子</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政兴集团</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S106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沈环线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92.448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94.790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政兴集团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小河口桥前10米</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S106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沈环线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94.790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96.420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S106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沈环线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96.420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97.801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1.381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小河口桥前10米</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卧龙</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S106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沈环线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97.801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114.797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卧龙</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兴安</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S106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沈环线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114.797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126.191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11.394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兴安</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辽阳界</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2</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S201</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平桓线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235.451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253.562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18.111 </w:t>
            </w:r>
          </w:p>
        </w:tc>
        <w:tc>
          <w:tcPr>
            <w:tcW w:w="730"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20.327 </w:t>
            </w:r>
          </w:p>
        </w:tc>
        <w:tc>
          <w:tcPr>
            <w:tcW w:w="879"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20.327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二道沟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双岭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平桓线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255.778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274.779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双岭</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泡子沿</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平桓线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272.563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274.779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2.216 </w:t>
            </w:r>
          </w:p>
        </w:tc>
        <w:tc>
          <w:tcPr>
            <w:tcW w:w="730"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泡子沿</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桓仁镇城楼</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S202</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傅桓线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343.159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359.237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16.078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16.078 </w:t>
            </w: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16.078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老道沟岭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铧尖子</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4</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S204</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桓永线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31.807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31.807 </w:t>
            </w:r>
          </w:p>
        </w:tc>
        <w:tc>
          <w:tcPr>
            <w:tcW w:w="730" w:type="dxa"/>
            <w:tcBorders>
              <w:top w:val="single" w:color="000000" w:sz="8" w:space="0"/>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47.523 </w:t>
            </w:r>
          </w:p>
        </w:tc>
        <w:tc>
          <w:tcPr>
            <w:tcW w:w="879"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47.523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大青沟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大洼岭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S204</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桓永线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31.807 </w:t>
            </w:r>
          </w:p>
        </w:tc>
        <w:tc>
          <w:tcPr>
            <w:tcW w:w="820" w:type="dxa"/>
            <w:tcBorders>
              <w:top w:val="nil"/>
              <w:left w:val="nil"/>
              <w:bottom w:val="nil"/>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32.859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大洼岭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八里甸子</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rPr>
          <w:trHeight w:val="339" w:hRule="exact"/>
        </w:trPr>
        <w:tc>
          <w:tcPr>
            <w:tcW w:w="696"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S204</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桓永线</w:t>
            </w:r>
          </w:p>
        </w:tc>
        <w:tc>
          <w:tcPr>
            <w:tcW w:w="790" w:type="dxa"/>
            <w:tcBorders>
              <w:top w:val="nil"/>
              <w:left w:val="nil"/>
              <w:bottom w:val="nil"/>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32.859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48.575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15.716 </w:t>
            </w:r>
          </w:p>
        </w:tc>
        <w:tc>
          <w:tcPr>
            <w:tcW w:w="730" w:type="dxa"/>
            <w:tcBorders>
              <w:top w:val="nil"/>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八里甸子</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高丽盘道岭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省道</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9条(</w:t>
            </w:r>
            <w:r>
              <w:rPr>
                <w:rFonts w:hint="eastAsia" w:ascii="Times New Roman" w:hAnsi="Times New Roman" w:eastAsia="黑体" w:cs="Times New Roman"/>
                <w:kern w:val="0"/>
                <w:sz w:val="15"/>
                <w:szCs w:val="15"/>
              </w:rPr>
              <w:t>506.575</w:t>
            </w:r>
            <w:r>
              <w:rPr>
                <w:rFonts w:ascii="Times New Roman" w:hAnsi="Times New Roman" w:eastAsia="黑体" w:cs="Times New Roman"/>
                <w:kern w:val="0"/>
                <w:sz w:val="15"/>
                <w:szCs w:val="15"/>
              </w:rPr>
              <w:t>km)</w:t>
            </w: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5</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抚丹线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44.280 </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89.667</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45.387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131.198 </w:t>
            </w:r>
          </w:p>
        </w:tc>
        <w:tc>
          <w:tcPr>
            <w:tcW w:w="879" w:type="dxa"/>
            <w:tcBorders>
              <w:top w:val="nil"/>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131.198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南大岭</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（市界）</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抚丹线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89.667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90.858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nil"/>
              <w:left w:val="nil"/>
              <w:bottom w:val="nil"/>
              <w:right w:val="nil"/>
            </w:tcBorders>
            <w:shd w:val="clear" w:color="auto" w:fill="auto"/>
            <w:noWrap/>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状元桥</w:t>
            </w:r>
          </w:p>
        </w:tc>
        <w:tc>
          <w:tcPr>
            <w:tcW w:w="1034" w:type="dxa"/>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镇南交通岗</w:t>
            </w:r>
          </w:p>
        </w:tc>
        <w:tc>
          <w:tcPr>
            <w:tcW w:w="822" w:type="dxa"/>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抚丹线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90.858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176.669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85.811 </w:t>
            </w:r>
          </w:p>
        </w:tc>
        <w:tc>
          <w:tcPr>
            <w:tcW w:w="730"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镇南交通岗</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陡岭子</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6</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本宽线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10.404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13.677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3.273 </w:t>
            </w:r>
          </w:p>
        </w:tc>
        <w:tc>
          <w:tcPr>
            <w:tcW w:w="730" w:type="dxa"/>
            <w:vMerge w:val="restart"/>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27.904 </w:t>
            </w:r>
          </w:p>
        </w:tc>
        <w:tc>
          <w:tcPr>
            <w:tcW w:w="879"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桥头大桥</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红庙子加油站</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本宽线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15.746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40.377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24.631 </w:t>
            </w:r>
          </w:p>
        </w:tc>
        <w:tc>
          <w:tcPr>
            <w:tcW w:w="730" w:type="dxa"/>
            <w:vMerge w:val="continue"/>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木材检查站</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北大岭隧道出口</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本宽线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40.377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b/>
                <w:bCs/>
                <w:kern w:val="0"/>
                <w:sz w:val="15"/>
                <w:szCs w:val="15"/>
                <w:lang w:eastAsia="en-US"/>
              </w:rPr>
            </w:pPr>
            <w:r>
              <w:rPr>
                <w:rFonts w:ascii="Times New Roman" w:hAnsi="Times New Roman" w:eastAsia="黑体" w:cs="Times New Roman"/>
                <w:b/>
                <w:bCs/>
                <w:kern w:val="0"/>
                <w:sz w:val="15"/>
                <w:szCs w:val="15"/>
              </w:rPr>
              <w:t xml:space="preserve">42.250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1.873 </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11.239 </w:t>
            </w:r>
          </w:p>
        </w:tc>
        <w:tc>
          <w:tcPr>
            <w:tcW w:w="879" w:type="dxa"/>
            <w:tcBorders>
              <w:top w:val="nil"/>
              <w:left w:val="nil"/>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39.143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北大岭隧道出口</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苑家堡子</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本宽线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b/>
                <w:bCs/>
                <w:kern w:val="0"/>
                <w:sz w:val="15"/>
                <w:szCs w:val="15"/>
                <w:lang w:eastAsia="en-US"/>
              </w:rPr>
            </w:pPr>
            <w:r>
              <w:rPr>
                <w:rFonts w:ascii="Times New Roman" w:hAnsi="Times New Roman" w:eastAsia="黑体" w:cs="Times New Roman"/>
                <w:b/>
                <w:bCs/>
                <w:kern w:val="0"/>
                <w:sz w:val="15"/>
                <w:szCs w:val="15"/>
              </w:rPr>
              <w:t xml:space="preserve">47.065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54.721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7.656 </w:t>
            </w: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nil"/>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苑家堡子</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草河掌镇</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本宽线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54.721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64.045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nil"/>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草河掌镇</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苗堡</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S206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本宽线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64.045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65.755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1.710 </w:t>
            </w: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nil"/>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苗堡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喜鹊岭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31.064</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57.531</w:t>
            </w:r>
          </w:p>
        </w:tc>
        <w:tc>
          <w:tcPr>
            <w:tcW w:w="639" w:type="dxa"/>
            <w:tcBorders>
              <w:top w:val="single" w:color="000000" w:sz="4" w:space="0"/>
              <w:left w:val="single" w:color="000000" w:sz="4" w:space="0"/>
              <w:bottom w:val="nil"/>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26.467 </w:t>
            </w:r>
          </w:p>
        </w:tc>
        <w:tc>
          <w:tcPr>
            <w:tcW w:w="730" w:type="dxa"/>
            <w:vMerge w:val="restart"/>
            <w:tcBorders>
              <w:top w:val="nil"/>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70.702 </w:t>
            </w: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长春沟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黑沟乡</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57.531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58.558</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vMerge w:val="continue"/>
            <w:tcBorders>
              <w:top w:val="nil"/>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黑沟乡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黑沟乡</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58.558</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91.761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33.203 </w:t>
            </w:r>
          </w:p>
        </w:tc>
        <w:tc>
          <w:tcPr>
            <w:tcW w:w="730" w:type="dxa"/>
            <w:vMerge w:val="continue"/>
            <w:tcBorders>
              <w:top w:val="nil"/>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黑沟乡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二户来</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91.761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106.849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vMerge w:val="continue"/>
            <w:tcBorders>
              <w:top w:val="nil"/>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二户来</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木盂子</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106.849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117.881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11.032 </w:t>
            </w:r>
          </w:p>
        </w:tc>
        <w:tc>
          <w:tcPr>
            <w:tcW w:w="730" w:type="dxa"/>
            <w:vMerge w:val="continue"/>
            <w:tcBorders>
              <w:top w:val="nil"/>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木盂子</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抚顺界</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117.881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172.950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129.017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桓仁抚顺界</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本溪县抚顺界</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r>
      <w:tr>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172.950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188.716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15.766 </w:t>
            </w:r>
          </w:p>
        </w:tc>
        <w:tc>
          <w:tcPr>
            <w:tcW w:w="730" w:type="dxa"/>
            <w:tcBorders>
              <w:top w:val="single" w:color="000000" w:sz="8" w:space="0"/>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47.568 </w:t>
            </w: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抚顺界</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清河城老爷庙</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188.716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191.478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清河城老爷庙</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陈贾叉道</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191.478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220.383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28.905 </w:t>
            </w:r>
          </w:p>
        </w:tc>
        <w:tc>
          <w:tcPr>
            <w:tcW w:w="730" w:type="dxa"/>
            <w:tcBorders>
              <w:top w:val="nil"/>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陈贾</w:t>
            </w:r>
            <w:r>
              <w:rPr>
                <w:rFonts w:hint="eastAsia" w:ascii="Times New Roman" w:hAnsi="Times New Roman" w:eastAsia="黑体" w:cs="Times New Roman"/>
                <w:kern w:val="0"/>
                <w:sz w:val="15"/>
                <w:szCs w:val="15"/>
                <w:lang w:eastAsia="zh-CN"/>
              </w:rPr>
              <w:t>岔</w:t>
            </w:r>
            <w:bookmarkStart w:id="26" w:name="_GoBack"/>
            <w:bookmarkEnd w:id="26"/>
            <w:r>
              <w:rPr>
                <w:rFonts w:ascii="Times New Roman" w:hAnsi="Times New Roman" w:eastAsia="黑体" w:cs="Times New Roman"/>
                <w:kern w:val="0"/>
                <w:sz w:val="15"/>
                <w:szCs w:val="15"/>
              </w:rPr>
              <w:t>道</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岭东</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220.383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229.669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岭东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红西沟</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229.669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232.566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2.897 </w:t>
            </w:r>
          </w:p>
        </w:tc>
        <w:tc>
          <w:tcPr>
            <w:tcW w:w="730" w:type="dxa"/>
            <w:tcBorders>
              <w:top w:val="nil"/>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红西沟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吴家岭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S305</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柞本线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232.566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243.313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10.747 </w:t>
            </w:r>
          </w:p>
        </w:tc>
        <w:tc>
          <w:tcPr>
            <w:tcW w:w="730" w:type="dxa"/>
            <w:tcBorders>
              <w:top w:val="single" w:color="000000" w:sz="8" w:space="0"/>
              <w:left w:val="single" w:color="000000" w:sz="8" w:space="0"/>
              <w:bottom w:val="single" w:color="000000" w:sz="8"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10.747 </w:t>
            </w:r>
          </w:p>
        </w:tc>
        <w:tc>
          <w:tcPr>
            <w:tcW w:w="879"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吴家岭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高台子</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8</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20.653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20.653 </w:t>
            </w:r>
          </w:p>
        </w:tc>
        <w:tc>
          <w:tcPr>
            <w:tcW w:w="730"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26.245 </w:t>
            </w:r>
          </w:p>
        </w:tc>
        <w:tc>
          <w:tcPr>
            <w:tcW w:w="879"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54.538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小市</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高官镇</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20.653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22.676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高官镇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岭东</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22.676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26.304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岭东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北三家子</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26.304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31.896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5.592 </w:t>
            </w:r>
          </w:p>
        </w:tc>
        <w:tc>
          <w:tcPr>
            <w:tcW w:w="730"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北三家子</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龙湾岭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31.896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35.309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3.413 </w:t>
            </w:r>
          </w:p>
        </w:tc>
        <w:tc>
          <w:tcPr>
            <w:tcW w:w="730"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28.293 </w:t>
            </w: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龙湾岭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胜利</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35.309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36.874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胜利</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奚堡</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36.874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48.466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11.592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奚堡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黑贝</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48.466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60.425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11.959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黑贝</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大柳峪</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S306</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小灯线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60.425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61.754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1.329 </w:t>
            </w:r>
          </w:p>
        </w:tc>
        <w:tc>
          <w:tcPr>
            <w:tcW w:w="730"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single" w:color="000000" w:sz="8" w:space="0"/>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大柳峪</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小八盘岭</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市直段</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9</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S310</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草鞍线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11.980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11.980 </w:t>
            </w:r>
          </w:p>
        </w:tc>
        <w:tc>
          <w:tcPr>
            <w:tcW w:w="730"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25.456 </w:t>
            </w:r>
          </w:p>
        </w:tc>
        <w:tc>
          <w:tcPr>
            <w:tcW w:w="879" w:type="dxa"/>
            <w:tcBorders>
              <w:top w:val="single" w:color="000000" w:sz="8" w:space="0"/>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25.456 </w:t>
            </w: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草河城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草河口</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S310</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草鞍线</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11.980 </w:t>
            </w:r>
          </w:p>
        </w:tc>
        <w:tc>
          <w:tcPr>
            <w:tcW w:w="82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30.663 </w:t>
            </w:r>
          </w:p>
        </w:tc>
        <w:tc>
          <w:tcPr>
            <w:tcW w:w="639" w:type="dxa"/>
            <w:tcBorders>
              <w:top w:val="single" w:color="000000" w:sz="4" w:space="0"/>
              <w:left w:val="single" w:color="000000" w:sz="4" w:space="0"/>
              <w:bottom w:val="single" w:color="000000" w:sz="4" w:space="0"/>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0.000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草河口</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连山关</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39" w:hRule="exact"/>
        </w:trPr>
        <w:tc>
          <w:tcPr>
            <w:tcW w:w="696"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57"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568" w:type="dxa"/>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S310</w:t>
            </w:r>
          </w:p>
        </w:tc>
        <w:tc>
          <w:tcPr>
            <w:tcW w:w="669" w:type="dxa"/>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草鞍线</w:t>
            </w:r>
          </w:p>
        </w:tc>
        <w:tc>
          <w:tcPr>
            <w:tcW w:w="790" w:type="dxa"/>
            <w:tcBorders>
              <w:top w:val="single" w:color="000000" w:sz="4" w:space="0"/>
              <w:left w:val="nil"/>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30.663 </w:t>
            </w:r>
          </w:p>
        </w:tc>
        <w:tc>
          <w:tcPr>
            <w:tcW w:w="820" w:type="dxa"/>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44.139 </w:t>
            </w:r>
          </w:p>
        </w:tc>
        <w:tc>
          <w:tcPr>
            <w:tcW w:w="639" w:type="dxa"/>
            <w:tcBorders>
              <w:top w:val="single" w:color="000000" w:sz="4" w:space="0"/>
              <w:left w:val="single" w:color="000000" w:sz="4" w:space="0"/>
              <w:bottom w:val="nil"/>
              <w:right w:val="nil"/>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13.476 </w:t>
            </w:r>
          </w:p>
        </w:tc>
        <w:tc>
          <w:tcPr>
            <w:tcW w:w="730"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79" w:type="dxa"/>
            <w:tcBorders>
              <w:top w:val="nil"/>
              <w:left w:val="single" w:color="000000" w:sz="8" w:space="0"/>
              <w:bottom w:val="nil"/>
              <w:right w:val="single" w:color="000000" w:sz="8"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950" w:type="dxa"/>
            <w:tcBorders>
              <w:top w:val="single" w:color="000000" w:sz="4" w:space="0"/>
              <w:left w:val="nil"/>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连山关</w:t>
            </w:r>
          </w:p>
        </w:tc>
        <w:tc>
          <w:tcPr>
            <w:tcW w:w="1034" w:type="dxa"/>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摩天岭</w:t>
            </w:r>
          </w:p>
        </w:tc>
        <w:tc>
          <w:tcPr>
            <w:tcW w:w="822" w:type="dxa"/>
            <w:tcBorders>
              <w:top w:val="single" w:color="000000" w:sz="4"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本溪县</w:t>
            </w:r>
          </w:p>
        </w:tc>
      </w:tr>
      <w:tr>
        <w:tblPrEx>
          <w:tblCellMar>
            <w:top w:w="0" w:type="dxa"/>
            <w:left w:w="108" w:type="dxa"/>
            <w:bottom w:w="0" w:type="dxa"/>
            <w:right w:w="108" w:type="dxa"/>
          </w:tblCellMar>
        </w:tblPrEx>
        <w:trPr>
          <w:trHeight w:val="390" w:hRule="exac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40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全市干线合计里程(km)</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987.497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987.497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lang w:eastAsia="en-US"/>
              </w:rPr>
            </w:pPr>
            <w:r>
              <w:rPr>
                <w:rFonts w:ascii="Times New Roman" w:hAnsi="Times New Roman" w:eastAsia="黑体" w:cs="Times New Roman"/>
                <w:kern w:val="0"/>
                <w:sz w:val="15"/>
                <w:szCs w:val="15"/>
              </w:rPr>
              <w:t xml:space="preserve">987.497 </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p>
        </w:tc>
      </w:tr>
      <w:tr>
        <w:tblPrEx>
          <w:tblCellMar>
            <w:top w:w="0" w:type="dxa"/>
            <w:left w:w="108" w:type="dxa"/>
            <w:bottom w:w="0" w:type="dxa"/>
            <w:right w:w="108" w:type="dxa"/>
          </w:tblCellMar>
        </w:tblPrEx>
        <w:trPr>
          <w:trHeight w:val="436" w:hRule="exact"/>
        </w:trPr>
        <w:tc>
          <w:tcPr>
            <w:tcW w:w="9154"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val="0"/>
              <w:autoSpaceDE w:val="0"/>
              <w:autoSpaceDN w:val="0"/>
              <w:adjustRightInd w:val="0"/>
              <w:snapToGrid w:val="0"/>
              <w:jc w:val="center"/>
              <w:textAlignment w:val="baseline"/>
              <w:rPr>
                <w:rFonts w:ascii="Times New Roman" w:hAnsi="Times New Roman" w:eastAsia="黑体" w:cs="Times New Roman"/>
                <w:kern w:val="0"/>
                <w:sz w:val="15"/>
                <w:szCs w:val="15"/>
                <w:lang w:eastAsia="en-US"/>
              </w:rPr>
            </w:pPr>
            <w:r>
              <w:rPr>
                <w:rFonts w:ascii="Times New Roman" w:hAnsi="Times New Roman" w:eastAsia="黑体" w:cs="Times New Roman"/>
                <w:spacing w:val="-7"/>
                <w:kern w:val="0"/>
                <w:sz w:val="24"/>
                <w:szCs w:val="24"/>
              </w:rPr>
              <w:t>桥梁464座/25227延米、涵洞1895道</w:t>
            </w:r>
          </w:p>
        </w:tc>
      </w:tr>
    </w:tbl>
    <w:p>
      <w:pPr>
        <w:widowControl/>
        <w:kinsoku w:val="0"/>
        <w:autoSpaceDE w:val="0"/>
        <w:autoSpaceDN w:val="0"/>
        <w:adjustRightInd w:val="0"/>
        <w:snapToGrid w:val="0"/>
        <w:spacing w:line="331" w:lineRule="auto"/>
        <w:jc w:val="left"/>
        <w:textAlignment w:val="baseline"/>
        <w:rPr>
          <w:rFonts w:ascii="Times New Roman" w:hAnsi="Times New Roman" w:eastAsia="黑体" w:cs="Times New Roman"/>
          <w:kern w:val="0"/>
          <w:szCs w:val="21"/>
          <w:lang w:eastAsia="en-US"/>
        </w:rPr>
      </w:pPr>
    </w:p>
    <w:tbl>
      <w:tblPr>
        <w:tblStyle w:val="25"/>
        <w:tblW w:w="9297" w:type="dxa"/>
        <w:tblInd w:w="55" w:type="dxa"/>
        <w:tblLayout w:type="fixed"/>
        <w:tblCellMar>
          <w:top w:w="0" w:type="dxa"/>
          <w:left w:w="108" w:type="dxa"/>
          <w:bottom w:w="0" w:type="dxa"/>
          <w:right w:w="108" w:type="dxa"/>
        </w:tblCellMar>
      </w:tblPr>
      <w:tblGrid>
        <w:gridCol w:w="588"/>
        <w:gridCol w:w="732"/>
        <w:gridCol w:w="730"/>
        <w:gridCol w:w="1180"/>
        <w:gridCol w:w="1604"/>
        <w:gridCol w:w="931"/>
        <w:gridCol w:w="815"/>
        <w:gridCol w:w="650"/>
        <w:gridCol w:w="660"/>
        <w:gridCol w:w="820"/>
        <w:gridCol w:w="587"/>
      </w:tblGrid>
      <w:tr>
        <w:tblPrEx>
          <w:tblCellMar>
            <w:top w:w="0" w:type="dxa"/>
            <w:left w:w="108" w:type="dxa"/>
            <w:bottom w:w="0" w:type="dxa"/>
            <w:right w:w="108" w:type="dxa"/>
          </w:tblCellMar>
        </w:tblPrEx>
        <w:trPr>
          <w:trHeight w:val="611" w:hRule="atLeast"/>
        </w:trPr>
        <w:tc>
          <w:tcPr>
            <w:tcW w:w="9297" w:type="dxa"/>
            <w:gridSpan w:val="11"/>
            <w:tcBorders>
              <w:top w:val="nil"/>
              <w:left w:val="nil"/>
              <w:bottom w:val="nil"/>
              <w:right w:val="nil"/>
            </w:tcBorders>
            <w:shd w:val="clear" w:color="auto" w:fill="auto"/>
            <w:vAlign w:val="center"/>
          </w:tcPr>
          <w:p>
            <w:pPr>
              <w:widowControl/>
              <w:kinsoku w:val="0"/>
              <w:autoSpaceDE w:val="0"/>
              <w:autoSpaceDN w:val="0"/>
              <w:adjustRightInd w:val="0"/>
              <w:snapToGrid w:val="0"/>
              <w:spacing w:line="360" w:lineRule="auto"/>
              <w:jc w:val="center"/>
              <w:textAlignment w:val="center"/>
              <w:rPr>
                <w:rFonts w:ascii="Times New Roman" w:hAnsi="Times New Roman" w:eastAsia="黑体" w:cs="Times New Roman"/>
                <w:b/>
                <w:bCs/>
                <w:kern w:val="0"/>
                <w:sz w:val="40"/>
                <w:szCs w:val="40"/>
                <w:lang w:eastAsia="en-US"/>
              </w:rPr>
            </w:pPr>
            <w:r>
              <w:rPr>
                <w:rFonts w:ascii="Times New Roman" w:hAnsi="Times New Roman" w:eastAsia="黑体" w:cs="Times New Roman"/>
                <w:b/>
                <w:bCs/>
                <w:kern w:val="0"/>
                <w:sz w:val="24"/>
                <w:szCs w:val="24"/>
              </w:rPr>
              <w:t>隧道工程概况</w:t>
            </w:r>
          </w:p>
        </w:tc>
      </w:tr>
      <w:tr>
        <w:tblPrEx>
          <w:tblCellMar>
            <w:top w:w="0" w:type="dxa"/>
            <w:left w:w="108" w:type="dxa"/>
            <w:bottom w:w="0" w:type="dxa"/>
            <w:right w:w="108" w:type="dxa"/>
          </w:tblCellMar>
        </w:tblPrEx>
        <w:trPr>
          <w:trHeight w:val="791" w:hRule="atLeast"/>
        </w:trPr>
        <w:tc>
          <w:tcPr>
            <w:tcW w:w="588" w:type="dxa"/>
            <w:tcBorders>
              <w:top w:val="single" w:color="000000" w:sz="8"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市别</w:t>
            </w:r>
          </w:p>
        </w:tc>
        <w:tc>
          <w:tcPr>
            <w:tcW w:w="732"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路线</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名称</w:t>
            </w:r>
          </w:p>
        </w:tc>
        <w:tc>
          <w:tcPr>
            <w:tcW w:w="730"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所在</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县区</w:t>
            </w:r>
          </w:p>
        </w:tc>
        <w:tc>
          <w:tcPr>
            <w:tcW w:w="1180"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隧道</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名称</w:t>
            </w:r>
          </w:p>
        </w:tc>
        <w:tc>
          <w:tcPr>
            <w:tcW w:w="1604" w:type="dxa"/>
            <w:tcBorders>
              <w:top w:val="single" w:color="000000" w:sz="8" w:space="0"/>
              <w:left w:val="single" w:color="000000" w:sz="4" w:space="0"/>
              <w:bottom w:val="nil"/>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隧道代码</w:t>
            </w:r>
          </w:p>
        </w:tc>
        <w:tc>
          <w:tcPr>
            <w:tcW w:w="931"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隧道</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中心</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桩号</w:t>
            </w:r>
          </w:p>
        </w:tc>
        <w:tc>
          <w:tcPr>
            <w:tcW w:w="815"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照明</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设施类型</w:t>
            </w:r>
          </w:p>
        </w:tc>
        <w:tc>
          <w:tcPr>
            <w:tcW w:w="650"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隧道</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长度</w:t>
            </w:r>
            <w:r>
              <w:rPr>
                <w:rFonts w:ascii="Times New Roman" w:hAnsi="Times New Roman" w:eastAsia="黑体" w:cs="Times New Roman"/>
                <w:kern w:val="0"/>
                <w:sz w:val="15"/>
                <w:szCs w:val="15"/>
              </w:rPr>
              <w:br w:type="textWrapping"/>
            </w:r>
            <w:r>
              <w:rPr>
                <w:rFonts w:ascii="Times New Roman" w:hAnsi="Times New Roman" w:eastAsia="黑体" w:cs="Times New Roman"/>
                <w:kern w:val="0"/>
                <w:sz w:val="15"/>
                <w:szCs w:val="15"/>
              </w:rPr>
              <w:t>(米)</w:t>
            </w:r>
          </w:p>
        </w:tc>
        <w:tc>
          <w:tcPr>
            <w:tcW w:w="660"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隧道净宽</w:t>
            </w:r>
            <w:r>
              <w:rPr>
                <w:rFonts w:ascii="Times New Roman" w:hAnsi="Times New Roman" w:eastAsia="黑体" w:cs="Times New Roman"/>
                <w:kern w:val="0"/>
                <w:sz w:val="15"/>
                <w:szCs w:val="15"/>
              </w:rPr>
              <w:br w:type="textWrapping"/>
            </w:r>
            <w:r>
              <w:rPr>
                <w:rFonts w:ascii="Times New Roman" w:hAnsi="Times New Roman" w:eastAsia="黑体" w:cs="Times New Roman"/>
                <w:kern w:val="0"/>
                <w:sz w:val="15"/>
                <w:szCs w:val="15"/>
              </w:rPr>
              <w:t>(米)</w:t>
            </w:r>
          </w:p>
        </w:tc>
        <w:tc>
          <w:tcPr>
            <w:tcW w:w="820"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隧道</w:t>
            </w:r>
          </w:p>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面积</w:t>
            </w:r>
            <w:r>
              <w:rPr>
                <w:rFonts w:ascii="Times New Roman" w:hAnsi="Times New Roman" w:eastAsia="黑体" w:cs="Times New Roman"/>
                <w:kern w:val="0"/>
                <w:sz w:val="15"/>
                <w:szCs w:val="15"/>
              </w:rPr>
              <w:br w:type="textWrapping"/>
            </w:r>
            <w:r>
              <w:rPr>
                <w:rFonts w:ascii="Times New Roman" w:hAnsi="Times New Roman" w:eastAsia="黑体" w:cs="Times New Roman"/>
                <w:kern w:val="0"/>
                <w:sz w:val="15"/>
                <w:szCs w:val="15"/>
              </w:rPr>
              <w:t>（㎡）</w:t>
            </w:r>
          </w:p>
        </w:tc>
        <w:tc>
          <w:tcPr>
            <w:tcW w:w="587" w:type="dxa"/>
            <w:tcBorders>
              <w:top w:val="single" w:color="000000" w:sz="8"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备注</w:t>
            </w: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丹霍线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市辖区</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千金岭隧道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G304210505U0010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188.768</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1398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14679</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2</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集本线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桓仁县</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葡萄架岭隧道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G506210522U0010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 xml:space="preserve">81.030 </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非LED灯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880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9.5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8360</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3</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集本线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桓仁县</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兰盘岭隧道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G506210522U0020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 xml:space="preserve">100.925 </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480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4800</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4</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集本线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本溪县</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大凹岭隧道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G506210521U0030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213.492</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1286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13503</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5</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集本线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本溪县</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新开岭隧道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G506210521U0040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238.458</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730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7665</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6</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集本线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本溪县</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八盘岭新隧道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G506210521U0050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269.147</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1850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19425</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7</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集本线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本溪县</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八盘岭隧道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G506210521U0060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269.351</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1627</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8.5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13830</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8</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集本线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本溪县</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三架岭新隧道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G506210521U0070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300.365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1060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10600</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9</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集本线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三p</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三架岭隧道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G506210521U0080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301.041</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1057</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11099</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集本线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桓仁县</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凤鸣隧道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G506210522U0090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 xml:space="preserve">125.547 </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2737</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28</w:t>
            </w:r>
            <w:r>
              <w:rPr>
                <w:rFonts w:hint="eastAsia" w:ascii="Times New Roman" w:hAnsi="Times New Roman" w:eastAsia="黑体" w:cs="Times New Roman"/>
                <w:kern w:val="0"/>
                <w:sz w:val="15"/>
                <w:szCs w:val="15"/>
              </w:rPr>
              <w:t>739</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11</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本宽线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三p</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北大岭隧道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S206210505U0010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39.3</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1995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20948</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12</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沈环线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市辖区</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阿家岭隧道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S106210502U0010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116.614</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860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9030</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13</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沈环线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市辖区</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阿家岭新隧道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S106210502U0020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116.621</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1995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10.5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20948</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267" w:hRule="atLeast"/>
        </w:trPr>
        <w:tc>
          <w:tcPr>
            <w:tcW w:w="588"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14</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柞本线</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桓仁县</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车道沟隧道</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S305210522U0010</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 xml:space="preserve">51.888 </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非LED灯</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1535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9</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13815</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r>
        <w:tblPrEx>
          <w:tblCellMar>
            <w:top w:w="0" w:type="dxa"/>
            <w:left w:w="108" w:type="dxa"/>
            <w:bottom w:w="0" w:type="dxa"/>
            <w:right w:w="108" w:type="dxa"/>
          </w:tblCellMar>
        </w:tblPrEx>
        <w:trPr>
          <w:trHeight w:val="516" w:hRule="atLeast"/>
        </w:trPr>
        <w:tc>
          <w:tcPr>
            <w:tcW w:w="6580"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合计</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hint="eastAsia" w:ascii="Times New Roman" w:hAnsi="Times New Roman" w:eastAsia="黑体" w:cs="Times New Roman"/>
                <w:kern w:val="0"/>
                <w:sz w:val="15"/>
                <w:szCs w:val="15"/>
              </w:rPr>
              <w:t>19490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r>
              <w:rPr>
                <w:rFonts w:ascii="Times New Roman" w:hAnsi="Times New Roman" w:eastAsia="黑体" w:cs="Times New Roman"/>
                <w:kern w:val="0"/>
                <w:sz w:val="15"/>
                <w:szCs w:val="15"/>
              </w:rPr>
              <w:t>1</w:t>
            </w:r>
            <w:r>
              <w:rPr>
                <w:rFonts w:hint="eastAsia" w:ascii="Times New Roman" w:hAnsi="Times New Roman" w:eastAsia="黑体" w:cs="Times New Roman"/>
                <w:kern w:val="0"/>
                <w:sz w:val="15"/>
                <w:szCs w:val="15"/>
              </w:rPr>
              <w:t>97441</w:t>
            </w:r>
          </w:p>
        </w:tc>
        <w:tc>
          <w:tcPr>
            <w:tcW w:w="587"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kinsoku w:val="0"/>
              <w:autoSpaceDE w:val="0"/>
              <w:autoSpaceDN w:val="0"/>
              <w:adjustRightInd w:val="0"/>
              <w:snapToGrid w:val="0"/>
              <w:jc w:val="center"/>
              <w:textAlignment w:val="center"/>
              <w:rPr>
                <w:rFonts w:ascii="Times New Roman" w:hAnsi="Times New Roman" w:eastAsia="黑体" w:cs="Times New Roman"/>
                <w:kern w:val="0"/>
                <w:sz w:val="15"/>
                <w:szCs w:val="15"/>
              </w:rPr>
            </w:pPr>
          </w:p>
        </w:tc>
      </w:tr>
    </w:tbl>
    <w:p>
      <w:pPr>
        <w:autoSpaceDE w:val="0"/>
        <w:autoSpaceDN w:val="0"/>
        <w:spacing w:before="8"/>
        <w:jc w:val="left"/>
        <w:rPr>
          <w:rFonts w:ascii="宋体" w:hAnsi="宋体" w:eastAsia="宋体" w:cs="宋体"/>
          <w:kern w:val="0"/>
          <w:sz w:val="23"/>
          <w:szCs w:val="24"/>
        </w:rPr>
      </w:pPr>
    </w:p>
    <w:bookmarkEnd w:id="7"/>
    <w:p>
      <w:pPr>
        <w:tabs>
          <w:tab w:val="left" w:pos="1124"/>
        </w:tabs>
        <w:autoSpaceDE w:val="0"/>
        <w:autoSpaceDN w:val="0"/>
        <w:spacing w:before="74"/>
        <w:ind w:firstLine="720" w:firstLineChars="300"/>
        <w:jc w:val="left"/>
        <w:rPr>
          <w:rFonts w:ascii="黑体" w:hAnsi="宋体" w:eastAsia="黑体" w:cs="宋体"/>
          <w:kern w:val="0"/>
          <w:sz w:val="24"/>
        </w:rPr>
      </w:pPr>
      <w:bookmarkStart w:id="8" w:name="_Hlk156126556"/>
      <w:r>
        <w:rPr>
          <w:rFonts w:hint="eastAsia" w:ascii="黑体" w:hAnsi="宋体" w:eastAsia="黑体" w:cs="宋体"/>
          <w:kern w:val="0"/>
          <w:sz w:val="24"/>
        </w:rPr>
        <w:t>2.2招标范围及标段划分</w:t>
      </w:r>
    </w:p>
    <w:p>
      <w:pPr>
        <w:autoSpaceDE w:val="0"/>
        <w:autoSpaceDN w:val="0"/>
        <w:spacing w:before="194"/>
        <w:ind w:left="718"/>
        <w:jc w:val="left"/>
        <w:rPr>
          <w:rFonts w:ascii="宋体" w:hAnsi="宋体" w:eastAsia="宋体" w:cs="宋体"/>
          <w:kern w:val="0"/>
          <w:sz w:val="24"/>
          <w:szCs w:val="24"/>
        </w:rPr>
      </w:pPr>
      <w:r>
        <w:rPr>
          <w:rFonts w:ascii="宋体" w:hAnsi="宋体" w:eastAsia="宋体" w:cs="宋体"/>
          <w:kern w:val="0"/>
          <w:sz w:val="24"/>
          <w:szCs w:val="24"/>
        </w:rPr>
        <w:t>本次招标范围：为本溪市国省干线公路养护第三方专业化巡查服务。</w:t>
      </w:r>
    </w:p>
    <w:p>
      <w:pPr>
        <w:autoSpaceDE w:val="0"/>
        <w:autoSpaceDN w:val="0"/>
        <w:spacing w:before="194"/>
        <w:ind w:left="718"/>
        <w:jc w:val="left"/>
        <w:rPr>
          <w:rFonts w:ascii="宋体" w:hAnsi="宋体" w:eastAsia="宋体" w:cs="宋体"/>
          <w:kern w:val="0"/>
          <w:sz w:val="24"/>
          <w:szCs w:val="24"/>
        </w:rPr>
      </w:pPr>
      <w:r>
        <w:rPr>
          <w:rFonts w:hint="eastAsia" w:ascii="宋体" w:hAnsi="宋体" w:eastAsia="宋体" w:cs="宋体"/>
          <w:kern w:val="0"/>
          <w:sz w:val="24"/>
          <w:szCs w:val="24"/>
        </w:rPr>
        <w:t>标段划分：本项目共划分1个标段</w:t>
      </w:r>
    </w:p>
    <w:p>
      <w:pPr>
        <w:autoSpaceDE w:val="0"/>
        <w:autoSpaceDN w:val="0"/>
        <w:spacing w:before="194"/>
        <w:ind w:left="718"/>
        <w:jc w:val="left"/>
        <w:rPr>
          <w:rFonts w:ascii="黑体" w:hAnsi="宋体" w:eastAsia="黑体" w:cs="宋体"/>
          <w:kern w:val="0"/>
          <w:sz w:val="24"/>
          <w:szCs w:val="24"/>
        </w:rPr>
      </w:pPr>
      <w:r>
        <w:rPr>
          <w:rFonts w:hint="eastAsia" w:ascii="黑体" w:hAnsi="宋体" w:eastAsia="黑体" w:cs="宋体"/>
          <w:kern w:val="0"/>
          <w:sz w:val="24"/>
          <w:szCs w:val="24"/>
        </w:rPr>
        <w:t>2.3服务周期</w:t>
      </w:r>
    </w:p>
    <w:p>
      <w:pPr>
        <w:autoSpaceDE w:val="0"/>
        <w:autoSpaceDN w:val="0"/>
        <w:spacing w:before="134" w:line="343" w:lineRule="auto"/>
        <w:ind w:left="238" w:right="357" w:firstLine="480"/>
        <w:jc w:val="left"/>
        <w:rPr>
          <w:rFonts w:ascii="宋体" w:hAnsi="宋体" w:eastAsia="宋体" w:cs="宋体"/>
          <w:kern w:val="0"/>
          <w:sz w:val="24"/>
          <w:szCs w:val="24"/>
        </w:rPr>
      </w:pPr>
      <w:r>
        <w:rPr>
          <w:rFonts w:ascii="宋体" w:hAnsi="宋体" w:eastAsia="宋体" w:cs="宋体"/>
          <w:kern w:val="0"/>
          <w:sz w:val="24"/>
          <w:szCs w:val="24"/>
        </w:rPr>
        <w:t>服务周期：</w:t>
      </w:r>
      <w:r>
        <w:rPr>
          <w:rFonts w:ascii="宋体" w:hAnsi="宋体" w:eastAsia="宋体" w:cs="Times New Roman"/>
          <w:kern w:val="0"/>
          <w:sz w:val="24"/>
          <w:szCs w:val="24"/>
        </w:rPr>
        <w:t>2024 年</w:t>
      </w:r>
      <w:r>
        <w:rPr>
          <w:rFonts w:hint="eastAsia" w:ascii="宋体" w:hAnsi="宋体" w:eastAsia="宋体" w:cs="Times New Roman"/>
          <w:kern w:val="0"/>
          <w:sz w:val="24"/>
          <w:szCs w:val="24"/>
        </w:rPr>
        <w:t xml:space="preserve"> 2</w:t>
      </w:r>
      <w:r>
        <w:rPr>
          <w:rFonts w:ascii="宋体" w:hAnsi="宋体" w:eastAsia="宋体" w:cs="Times New Roman"/>
          <w:kern w:val="0"/>
          <w:sz w:val="24"/>
          <w:szCs w:val="24"/>
        </w:rPr>
        <w:t xml:space="preserve"> 月 2</w:t>
      </w:r>
      <w:r>
        <w:rPr>
          <w:rFonts w:hint="eastAsia" w:ascii="宋体" w:hAnsi="宋体" w:eastAsia="宋体" w:cs="Times New Roman"/>
          <w:kern w:val="0"/>
          <w:sz w:val="24"/>
          <w:szCs w:val="24"/>
        </w:rPr>
        <w:t>9</w:t>
      </w:r>
      <w:r>
        <w:rPr>
          <w:rFonts w:ascii="宋体" w:hAnsi="宋体" w:eastAsia="宋体" w:cs="Times New Roman"/>
          <w:kern w:val="0"/>
          <w:sz w:val="24"/>
          <w:szCs w:val="24"/>
        </w:rPr>
        <w:t xml:space="preserve"> 日起至 202</w:t>
      </w:r>
      <w:r>
        <w:rPr>
          <w:rFonts w:hint="eastAsia" w:ascii="宋体" w:hAnsi="宋体" w:eastAsia="宋体" w:cs="Times New Roman"/>
          <w:kern w:val="0"/>
          <w:sz w:val="24"/>
          <w:szCs w:val="24"/>
        </w:rPr>
        <w:t>6</w:t>
      </w:r>
      <w:r>
        <w:rPr>
          <w:rFonts w:ascii="宋体" w:hAnsi="宋体" w:eastAsia="宋体" w:cs="Times New Roman"/>
          <w:kern w:val="0"/>
          <w:sz w:val="24"/>
          <w:szCs w:val="24"/>
        </w:rPr>
        <w:t xml:space="preserve"> 年 </w:t>
      </w:r>
      <w:r>
        <w:rPr>
          <w:rFonts w:hint="eastAsia" w:ascii="宋体" w:hAnsi="宋体" w:eastAsia="宋体" w:cs="Times New Roman"/>
          <w:kern w:val="0"/>
          <w:sz w:val="24"/>
          <w:szCs w:val="24"/>
        </w:rPr>
        <w:t>3</w:t>
      </w:r>
      <w:r>
        <w:rPr>
          <w:rFonts w:ascii="宋体" w:hAnsi="宋体" w:eastAsia="宋体" w:cs="Times New Roman"/>
          <w:kern w:val="0"/>
          <w:sz w:val="24"/>
          <w:szCs w:val="24"/>
        </w:rPr>
        <w:t xml:space="preserve"> 月 </w:t>
      </w:r>
      <w:r>
        <w:rPr>
          <w:rFonts w:hint="eastAsia" w:ascii="宋体" w:hAnsi="宋体" w:eastAsia="宋体" w:cs="Times New Roman"/>
          <w:kern w:val="0"/>
          <w:sz w:val="24"/>
          <w:szCs w:val="24"/>
        </w:rPr>
        <w:t>1</w:t>
      </w:r>
      <w:r>
        <w:rPr>
          <w:rFonts w:ascii="宋体" w:hAnsi="宋体" w:eastAsia="宋体" w:cs="Times New Roman"/>
          <w:kern w:val="0"/>
          <w:sz w:val="24"/>
          <w:szCs w:val="24"/>
        </w:rPr>
        <w:t xml:space="preserve"> 日止，具体服务期限以双方签订的合同为准。</w:t>
      </w:r>
      <w:bookmarkEnd w:id="8"/>
    </w:p>
    <w:p>
      <w:pPr>
        <w:numPr>
          <w:ilvl w:val="0"/>
          <w:numId w:val="1"/>
        </w:numPr>
        <w:tabs>
          <w:tab w:val="left" w:pos="589"/>
        </w:tabs>
        <w:autoSpaceDE w:val="0"/>
        <w:autoSpaceDN w:val="0"/>
        <w:spacing w:before="129"/>
        <w:ind w:hanging="350"/>
        <w:jc w:val="left"/>
        <w:outlineLvl w:val="5"/>
        <w:rPr>
          <w:rFonts w:ascii="黑体" w:hAnsi="黑体" w:eastAsia="黑体" w:cs="黑体"/>
          <w:kern w:val="0"/>
          <w:sz w:val="28"/>
          <w:szCs w:val="28"/>
          <w:lang w:eastAsia="en-US"/>
        </w:rPr>
      </w:pPr>
      <w:bookmarkStart w:id="9" w:name="_bookmark3"/>
      <w:bookmarkEnd w:id="9"/>
      <w:bookmarkStart w:id="10" w:name="3._投标人资格要求"/>
      <w:bookmarkEnd w:id="10"/>
      <w:r>
        <w:rPr>
          <w:rFonts w:ascii="黑体" w:hAnsi="黑体" w:eastAsia="黑体" w:cs="黑体"/>
          <w:spacing w:val="-3"/>
          <w:kern w:val="0"/>
          <w:sz w:val="28"/>
          <w:szCs w:val="28"/>
          <w:lang w:eastAsia="en-US"/>
        </w:rPr>
        <w:t>投标人资格要求</w:t>
      </w:r>
    </w:p>
    <w:p>
      <w:pPr>
        <w:tabs>
          <w:tab w:val="left" w:pos="1139"/>
        </w:tabs>
        <w:autoSpaceDE w:val="0"/>
        <w:autoSpaceDN w:val="0"/>
        <w:spacing w:after="19"/>
        <w:ind w:firstLine="720" w:firstLineChars="300"/>
        <w:jc w:val="left"/>
        <w:rPr>
          <w:rFonts w:ascii="黑体" w:hAnsi="宋体" w:eastAsia="黑体" w:cs="宋体"/>
          <w:kern w:val="0"/>
          <w:sz w:val="24"/>
        </w:rPr>
      </w:pPr>
      <w:bookmarkStart w:id="11" w:name="_Hlk156126597"/>
      <w:r>
        <w:rPr>
          <w:rFonts w:ascii="黑体" w:hAnsi="宋体" w:eastAsia="黑体" w:cs="宋体"/>
          <w:kern w:val="0"/>
          <w:sz w:val="24"/>
        </w:rPr>
        <w:t>3.1本次招标要求投标人必须同时具备的资格要求详见下表：</w:t>
      </w:r>
    </w:p>
    <w:p>
      <w:pPr>
        <w:widowControl/>
        <w:kinsoku w:val="0"/>
        <w:autoSpaceDE w:val="0"/>
        <w:autoSpaceDN w:val="0"/>
        <w:adjustRightInd w:val="0"/>
        <w:snapToGrid w:val="0"/>
        <w:spacing w:line="92" w:lineRule="auto"/>
        <w:ind w:firstLine="60"/>
        <w:jc w:val="left"/>
        <w:textAlignment w:val="baseline"/>
        <w:rPr>
          <w:rFonts w:ascii="Times New Roman" w:hAnsi="Times New Roman" w:eastAsia="黑体" w:cs="Times New Roman"/>
          <w:kern w:val="0"/>
          <w:sz w:val="2"/>
          <w:szCs w:val="21"/>
        </w:rPr>
      </w:pPr>
    </w:p>
    <w:tbl>
      <w:tblPr>
        <w:tblStyle w:val="25"/>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565"/>
        <w:gridCol w:w="77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jc w:val="center"/>
        </w:trPr>
        <w:tc>
          <w:tcPr>
            <w:tcW w:w="1565" w:type="dxa"/>
            <w:tcBorders>
              <w:top w:val="single" w:color="000000" w:sz="6" w:space="0"/>
              <w:left w:val="single" w:color="000000" w:sz="6" w:space="0"/>
              <w:bottom w:val="single" w:color="auto" w:sz="4" w:space="0"/>
            </w:tcBorders>
            <w:vAlign w:val="center"/>
          </w:tcPr>
          <w:p>
            <w:pPr>
              <w:widowControl/>
              <w:kinsoku w:val="0"/>
              <w:autoSpaceDE w:val="0"/>
              <w:autoSpaceDN w:val="0"/>
              <w:adjustRightInd w:val="0"/>
              <w:snapToGrid w:val="0"/>
              <w:spacing w:before="156" w:beforeLines="50" w:line="360" w:lineRule="auto"/>
              <w:jc w:val="center"/>
              <w:textAlignment w:val="baseline"/>
              <w:rPr>
                <w:rFonts w:ascii="宋体" w:hAnsi="宋体" w:eastAsia="宋体" w:cs="Times New Roman"/>
                <w:kern w:val="0"/>
                <w:szCs w:val="21"/>
                <w:lang w:eastAsia="en-US"/>
              </w:rPr>
            </w:pPr>
            <w:r>
              <w:rPr>
                <w:rFonts w:ascii="宋体" w:hAnsi="宋体" w:eastAsia="宋体" w:cs="Times New Roman"/>
                <w:kern w:val="0"/>
                <w:szCs w:val="21"/>
                <w:lang w:eastAsia="en-US"/>
              </w:rPr>
              <w:t>项目</w:t>
            </w:r>
          </w:p>
        </w:tc>
        <w:tc>
          <w:tcPr>
            <w:tcW w:w="7710" w:type="dxa"/>
            <w:tcBorders>
              <w:top w:val="single" w:color="000000" w:sz="6" w:space="0"/>
              <w:right w:val="single" w:color="000000" w:sz="6" w:space="0"/>
            </w:tcBorders>
            <w:vAlign w:val="center"/>
          </w:tcPr>
          <w:p>
            <w:pPr>
              <w:widowControl/>
              <w:kinsoku w:val="0"/>
              <w:autoSpaceDE w:val="0"/>
              <w:autoSpaceDN w:val="0"/>
              <w:adjustRightInd w:val="0"/>
              <w:snapToGrid w:val="0"/>
              <w:spacing w:before="156" w:beforeLines="50" w:line="360" w:lineRule="auto"/>
              <w:jc w:val="center"/>
              <w:textAlignment w:val="baseline"/>
              <w:rPr>
                <w:rFonts w:ascii="宋体" w:hAnsi="宋体" w:eastAsia="宋体" w:cs="Times New Roman"/>
                <w:kern w:val="0"/>
                <w:szCs w:val="21"/>
              </w:rPr>
            </w:pPr>
            <w:r>
              <w:rPr>
                <w:rFonts w:ascii="宋体" w:hAnsi="宋体" w:eastAsia="宋体" w:cs="Times New Roman"/>
                <w:kern w:val="0"/>
                <w:szCs w:val="21"/>
              </w:rPr>
              <w:t>资格审查条件最低要求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8" w:hRule="atLeast"/>
          <w:jc w:val="center"/>
        </w:trPr>
        <w:tc>
          <w:tcPr>
            <w:tcW w:w="1565" w:type="dxa"/>
            <w:vMerge w:val="restart"/>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156" w:beforeLines="50" w:line="360" w:lineRule="auto"/>
              <w:jc w:val="center"/>
              <w:textAlignment w:val="baseline"/>
              <w:rPr>
                <w:rFonts w:ascii="宋体" w:hAnsi="宋体" w:eastAsia="宋体" w:cs="Times New Roman"/>
                <w:kern w:val="0"/>
                <w:szCs w:val="21"/>
              </w:rPr>
            </w:pPr>
            <w:r>
              <w:rPr>
                <w:rFonts w:ascii="宋体" w:hAnsi="宋体" w:eastAsia="宋体" w:cs="Times New Roman"/>
                <w:kern w:val="0"/>
                <w:szCs w:val="21"/>
              </w:rPr>
              <w:t>资质等级</w:t>
            </w:r>
          </w:p>
        </w:tc>
        <w:tc>
          <w:tcPr>
            <w:tcW w:w="7710" w:type="dxa"/>
            <w:tcBorders>
              <w:left w:val="single" w:color="auto" w:sz="4" w:space="0"/>
              <w:right w:val="single" w:color="000000" w:sz="6" w:space="0"/>
            </w:tcBorders>
            <w:vAlign w:val="center"/>
          </w:tcPr>
          <w:p>
            <w:pPr>
              <w:widowControl/>
              <w:kinsoku w:val="0"/>
              <w:autoSpaceDE w:val="0"/>
              <w:autoSpaceDN w:val="0"/>
              <w:adjustRightInd w:val="0"/>
              <w:snapToGrid w:val="0"/>
              <w:spacing w:before="156" w:beforeLines="50" w:line="360" w:lineRule="auto"/>
              <w:ind w:firstLine="420" w:firstLineChars="200"/>
              <w:jc w:val="left"/>
              <w:textAlignment w:val="baseline"/>
              <w:rPr>
                <w:rFonts w:ascii="宋体" w:hAnsi="宋体" w:eastAsia="宋体" w:cs="Times New Roman"/>
                <w:kern w:val="0"/>
                <w:szCs w:val="21"/>
              </w:rPr>
            </w:pPr>
            <w:r>
              <w:rPr>
                <w:rFonts w:ascii="宋体" w:hAnsi="宋体" w:eastAsia="宋体" w:cs="Times New Roman"/>
                <w:kern w:val="0"/>
                <w:szCs w:val="21"/>
              </w:rPr>
              <w:t>投标人持有有效营业执照（或事业单位法人证书）；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4" w:hRule="atLeast"/>
          <w:jc w:val="center"/>
        </w:trPr>
        <w:tc>
          <w:tcPr>
            <w:tcW w:w="1565" w:type="dxa"/>
            <w:vMerge w:val="continue"/>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156" w:beforeLines="50" w:line="360" w:lineRule="auto"/>
              <w:jc w:val="center"/>
              <w:textAlignment w:val="baseline"/>
              <w:rPr>
                <w:rFonts w:ascii="宋体" w:hAnsi="宋体" w:eastAsia="宋体" w:cs="Times New Roman"/>
                <w:kern w:val="0"/>
                <w:szCs w:val="21"/>
              </w:rPr>
            </w:pPr>
          </w:p>
        </w:tc>
        <w:tc>
          <w:tcPr>
            <w:tcW w:w="7710" w:type="dxa"/>
            <w:tcBorders>
              <w:left w:val="single" w:color="auto" w:sz="4" w:space="0"/>
              <w:right w:val="single" w:color="000000" w:sz="6" w:space="0"/>
            </w:tcBorders>
            <w:vAlign w:val="center"/>
          </w:tcPr>
          <w:p>
            <w:pPr>
              <w:widowControl/>
              <w:kinsoku w:val="0"/>
              <w:autoSpaceDE w:val="0"/>
              <w:autoSpaceDN w:val="0"/>
              <w:adjustRightInd w:val="0"/>
              <w:snapToGrid w:val="0"/>
              <w:spacing w:before="156" w:beforeLines="50" w:line="360" w:lineRule="auto"/>
              <w:ind w:firstLine="420" w:firstLineChars="200"/>
              <w:jc w:val="left"/>
              <w:textAlignment w:val="baseline"/>
              <w:rPr>
                <w:rFonts w:ascii="宋体" w:hAnsi="宋体" w:eastAsia="宋体" w:cs="Times New Roman"/>
                <w:spacing w:val="8"/>
                <w:kern w:val="0"/>
                <w:sz w:val="20"/>
                <w:szCs w:val="20"/>
              </w:rPr>
            </w:pPr>
            <w:r>
              <w:rPr>
                <w:rFonts w:ascii="宋体" w:hAnsi="宋体" w:eastAsia="宋体" w:cs="Times New Roman"/>
                <w:kern w:val="0"/>
                <w:szCs w:val="21"/>
              </w:rPr>
              <w:t>投标人具有交通运输行业主管部门颁发的公路工程试验检测综合类乙级及以上等级证书，并且同时具有省级及以上主管部门颁发的CMA资质认定证书且在有效期内。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jc w:val="center"/>
        </w:trPr>
        <w:tc>
          <w:tcPr>
            <w:tcW w:w="1565" w:type="dxa"/>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156" w:beforeLines="50" w:line="360" w:lineRule="auto"/>
              <w:jc w:val="center"/>
              <w:textAlignment w:val="baseline"/>
              <w:rPr>
                <w:rFonts w:ascii="宋体" w:hAnsi="宋体" w:eastAsia="宋体" w:cs="Times New Roman"/>
                <w:kern w:val="0"/>
                <w:szCs w:val="21"/>
                <w:lang w:eastAsia="en-US"/>
              </w:rPr>
            </w:pPr>
            <w:r>
              <w:rPr>
                <w:rFonts w:ascii="宋体" w:hAnsi="宋体" w:eastAsia="宋体" w:cs="Times New Roman"/>
                <w:kern w:val="0"/>
                <w:szCs w:val="21"/>
                <w:lang w:eastAsia="en-US"/>
              </w:rPr>
              <w:t>企业业绩</w:t>
            </w:r>
          </w:p>
        </w:tc>
        <w:tc>
          <w:tcPr>
            <w:tcW w:w="7710" w:type="dxa"/>
            <w:tcBorders>
              <w:left w:val="single" w:color="auto" w:sz="4" w:space="0"/>
              <w:right w:val="single" w:color="000000" w:sz="6" w:space="0"/>
            </w:tcBorders>
            <w:vAlign w:val="center"/>
          </w:tcPr>
          <w:p>
            <w:pPr>
              <w:widowControl/>
              <w:kinsoku w:val="0"/>
              <w:autoSpaceDE w:val="0"/>
              <w:autoSpaceDN w:val="0"/>
              <w:adjustRightInd w:val="0"/>
              <w:snapToGrid w:val="0"/>
              <w:spacing w:before="156" w:beforeLines="50" w:line="360" w:lineRule="auto"/>
              <w:ind w:firstLine="420" w:firstLineChars="200"/>
              <w:jc w:val="left"/>
              <w:textAlignment w:val="baseline"/>
              <w:rPr>
                <w:rFonts w:ascii="宋体" w:hAnsi="宋体" w:eastAsia="宋体" w:cs="Times New Roman"/>
                <w:kern w:val="0"/>
                <w:szCs w:val="21"/>
              </w:rPr>
            </w:pPr>
            <w:r>
              <w:rPr>
                <w:rFonts w:ascii="宋体" w:hAnsi="宋体" w:eastAsia="宋体" w:cs="Times New Roman"/>
                <w:kern w:val="0"/>
                <w:szCs w:val="21"/>
              </w:rPr>
              <w:t>投标人近三年（2021年1月1日至投标文件递交截止日）至少独立完成1项普通国省干线</w:t>
            </w:r>
            <w:r>
              <w:rPr>
                <w:rFonts w:ascii="宋体" w:hAnsi="宋体" w:eastAsia="宋体" w:cs="Times New Roman"/>
                <w:spacing w:val="8"/>
                <w:kern w:val="0"/>
                <w:sz w:val="20"/>
                <w:szCs w:val="20"/>
              </w:rPr>
              <w:t>公路养护专业化巡查</w:t>
            </w:r>
            <w:r>
              <w:rPr>
                <w:rFonts w:ascii="宋体" w:hAnsi="宋体" w:eastAsia="宋体" w:cs="Times New Roman"/>
                <w:kern w:val="0"/>
                <w:szCs w:val="21"/>
              </w:rPr>
              <w:t>或普通国省干线公路养护工程检测服务或公路工程技术状况检测</w:t>
            </w:r>
            <w:r>
              <w:rPr>
                <w:rFonts w:ascii="宋体" w:hAnsi="宋体" w:eastAsia="宋体" w:cs="Times New Roman"/>
                <w:spacing w:val="9"/>
                <w:kern w:val="0"/>
                <w:sz w:val="20"/>
                <w:szCs w:val="20"/>
              </w:rPr>
              <w:t>（不包括监理类检测或施工自检类检测）</w:t>
            </w:r>
            <w:r>
              <w:rPr>
                <w:rFonts w:ascii="宋体" w:hAnsi="宋体" w:eastAsia="宋体" w:cs="Times New Roman"/>
                <w:kern w:val="0"/>
                <w:szCs w:val="21"/>
              </w:rPr>
              <w:t>业绩。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25" w:hRule="atLeast"/>
          <w:jc w:val="center"/>
        </w:trPr>
        <w:tc>
          <w:tcPr>
            <w:tcW w:w="1565" w:type="dxa"/>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156" w:beforeLines="50" w:line="360" w:lineRule="auto"/>
              <w:jc w:val="center"/>
              <w:textAlignment w:val="baseline"/>
              <w:rPr>
                <w:rFonts w:ascii="宋体" w:hAnsi="宋体" w:eastAsia="宋体" w:cs="Times New Roman"/>
                <w:kern w:val="0"/>
                <w:szCs w:val="21"/>
                <w:lang w:eastAsia="en-US"/>
              </w:rPr>
            </w:pPr>
            <w:r>
              <w:rPr>
                <w:rFonts w:ascii="宋体" w:hAnsi="宋体" w:eastAsia="宋体" w:cs="Times New Roman"/>
                <w:kern w:val="0"/>
                <w:szCs w:val="21"/>
                <w:lang w:eastAsia="en-US"/>
              </w:rPr>
              <w:t>主要人员</w:t>
            </w:r>
          </w:p>
        </w:tc>
        <w:tc>
          <w:tcPr>
            <w:tcW w:w="7710" w:type="dxa"/>
            <w:tcBorders>
              <w:left w:val="single" w:color="auto" w:sz="4" w:space="0"/>
              <w:bottom w:val="single" w:color="000000" w:sz="6" w:space="0"/>
              <w:right w:val="single" w:color="000000" w:sz="6" w:space="0"/>
            </w:tcBorders>
            <w:vAlign w:val="center"/>
          </w:tcPr>
          <w:p>
            <w:pPr>
              <w:widowControl/>
              <w:kinsoku w:val="0"/>
              <w:autoSpaceDE w:val="0"/>
              <w:autoSpaceDN w:val="0"/>
              <w:adjustRightInd w:val="0"/>
              <w:snapToGrid w:val="0"/>
              <w:spacing w:before="156" w:beforeLines="50" w:line="360" w:lineRule="auto"/>
              <w:ind w:firstLine="420" w:firstLineChars="200"/>
              <w:jc w:val="left"/>
              <w:textAlignment w:val="baseline"/>
              <w:rPr>
                <w:rFonts w:ascii="宋体" w:hAnsi="宋体" w:eastAsia="宋体" w:cs="Times New Roman"/>
                <w:kern w:val="0"/>
                <w:szCs w:val="21"/>
              </w:rPr>
            </w:pPr>
            <w:r>
              <w:rPr>
                <w:rFonts w:hint="eastAsia" w:ascii="宋体" w:hAnsi="宋体" w:eastAsia="宋体" w:cs="Times New Roman"/>
                <w:kern w:val="0"/>
                <w:szCs w:val="21"/>
              </w:rPr>
              <w:t>项目负责人（</w:t>
            </w:r>
            <w:r>
              <w:rPr>
                <w:rFonts w:ascii="宋体" w:hAnsi="宋体" w:eastAsia="宋体" w:cs="Times New Roman"/>
                <w:kern w:val="0"/>
                <w:szCs w:val="21"/>
              </w:rPr>
              <w:t>1人）：须具有公路工程相关专业中级及以上技术职称；必须在投标人单位（或其下属的非独立法人检测机构）任职并从业登记。持有交通运输主管部门颁发的公路水运工程试验检测师职业资格证书或试验检测工程师证书且证书检测专业应包含道路工程、桥梁隧道工程、交通工程,应在本单位交纳保险并提供社保系统打印且具有社保部门印章的社保缴费明细。</w:t>
            </w:r>
          </w:p>
          <w:p>
            <w:pPr>
              <w:widowControl/>
              <w:kinsoku w:val="0"/>
              <w:autoSpaceDE w:val="0"/>
              <w:autoSpaceDN w:val="0"/>
              <w:adjustRightInd w:val="0"/>
              <w:snapToGrid w:val="0"/>
              <w:spacing w:before="156" w:beforeLines="50" w:line="360" w:lineRule="auto"/>
              <w:ind w:firstLine="420" w:firstLineChars="200"/>
              <w:jc w:val="left"/>
              <w:textAlignment w:val="baseline"/>
              <w:rPr>
                <w:rFonts w:ascii="宋体" w:hAnsi="宋体" w:eastAsia="宋体" w:cs="Times New Roman"/>
                <w:kern w:val="0"/>
                <w:szCs w:val="21"/>
              </w:rPr>
            </w:pPr>
            <w:r>
              <w:rPr>
                <w:rFonts w:hint="eastAsia" w:ascii="宋体" w:hAnsi="宋体" w:eastAsia="宋体" w:cs="Times New Roman"/>
                <w:kern w:val="0"/>
                <w:szCs w:val="21"/>
              </w:rPr>
              <w:t>近三年（</w:t>
            </w:r>
            <w:r>
              <w:rPr>
                <w:rFonts w:ascii="宋体" w:hAnsi="宋体" w:eastAsia="宋体" w:cs="Times New Roman"/>
                <w:kern w:val="0"/>
                <w:szCs w:val="21"/>
              </w:rPr>
              <w:t>2021年1月1日至投标文件递交截止日）内，至少担任过1项普通国省干线公路养护专业化巡查或普通国省干线公路养护工程检测服务或公路工程技术状况检测（不包括监理类检测或施工自检类检测）项目负责人。注：根据《公路水运工程试验检测等级管理要求》（JT/T 1181-2018）“表 5 新旧试验检测人员证书专业对应表”，道路工程专业等于“公路专业+材料专业”、桥梁隧道工程专业等于“桥梁专业+隧道专业”、交通工程专业等于“交通安全设施专业+机电工程专业”。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6" w:hRule="atLeast"/>
          <w:jc w:val="center"/>
        </w:trPr>
        <w:tc>
          <w:tcPr>
            <w:tcW w:w="1565" w:type="dxa"/>
            <w:vAlign w:val="center"/>
          </w:tcPr>
          <w:p>
            <w:pPr>
              <w:widowControl/>
              <w:kinsoku w:val="0"/>
              <w:autoSpaceDE w:val="0"/>
              <w:autoSpaceDN w:val="0"/>
              <w:adjustRightInd w:val="0"/>
              <w:snapToGrid w:val="0"/>
              <w:spacing w:before="156" w:beforeLines="50" w:line="360" w:lineRule="auto"/>
              <w:jc w:val="center"/>
              <w:textAlignment w:val="baseline"/>
              <w:rPr>
                <w:rFonts w:ascii="宋体" w:hAnsi="宋体" w:eastAsia="宋体" w:cs="Times New Roman"/>
                <w:kern w:val="0"/>
                <w:szCs w:val="21"/>
                <w:lang w:eastAsia="en-US"/>
              </w:rPr>
            </w:pPr>
            <w:r>
              <w:rPr>
                <w:rFonts w:ascii="宋体" w:hAnsi="宋体" w:eastAsia="宋体" w:cs="Times New Roman"/>
                <w:kern w:val="0"/>
                <w:szCs w:val="21"/>
                <w:lang w:eastAsia="en-US"/>
              </w:rPr>
              <w:t>财务能力</w:t>
            </w:r>
          </w:p>
        </w:tc>
        <w:tc>
          <w:tcPr>
            <w:tcW w:w="7710" w:type="dxa"/>
            <w:vAlign w:val="center"/>
          </w:tcPr>
          <w:p>
            <w:pPr>
              <w:widowControl/>
              <w:kinsoku w:val="0"/>
              <w:autoSpaceDE w:val="0"/>
              <w:autoSpaceDN w:val="0"/>
              <w:adjustRightInd w:val="0"/>
              <w:snapToGrid w:val="0"/>
              <w:spacing w:before="156" w:beforeLines="50" w:line="360" w:lineRule="auto"/>
              <w:ind w:firstLine="420" w:firstLineChars="200"/>
              <w:jc w:val="left"/>
              <w:textAlignment w:val="baseline"/>
              <w:rPr>
                <w:rFonts w:ascii="宋体" w:hAnsi="宋体" w:eastAsia="宋体" w:cs="Times New Roman"/>
                <w:kern w:val="0"/>
                <w:szCs w:val="21"/>
              </w:rPr>
            </w:pPr>
            <w:r>
              <w:rPr>
                <w:rFonts w:ascii="宋体" w:hAnsi="宋体" w:eastAsia="宋体" w:cs="Times New Roman"/>
                <w:kern w:val="0"/>
                <w:szCs w:val="21"/>
              </w:rPr>
              <w:t>投标人2022年的年末流动资产与流动负债比不小于 1。</w:t>
            </w:r>
          </w:p>
        </w:tc>
      </w:tr>
    </w:tbl>
    <w:p>
      <w:pPr>
        <w:widowControl/>
        <w:kinsoku w:val="0"/>
        <w:autoSpaceDE w:val="0"/>
        <w:autoSpaceDN w:val="0"/>
        <w:adjustRightInd w:val="0"/>
        <w:snapToGrid w:val="0"/>
        <w:jc w:val="left"/>
        <w:textAlignment w:val="baseline"/>
        <w:rPr>
          <w:rFonts w:ascii="Times New Roman" w:hAnsi="Times New Roman" w:eastAsia="黑体" w:cs="Times New Roman"/>
          <w:kern w:val="0"/>
          <w:szCs w:val="21"/>
        </w:rPr>
      </w:pPr>
    </w:p>
    <w:p>
      <w:pPr>
        <w:tabs>
          <w:tab w:val="left" w:pos="1139"/>
        </w:tabs>
        <w:autoSpaceDE w:val="0"/>
        <w:autoSpaceDN w:val="0"/>
        <w:spacing w:after="19"/>
        <w:ind w:firstLine="720" w:firstLineChars="300"/>
        <w:jc w:val="left"/>
        <w:rPr>
          <w:rFonts w:ascii="黑体" w:hAnsi="宋体" w:eastAsia="黑体" w:cs="宋体"/>
          <w:kern w:val="0"/>
          <w:sz w:val="24"/>
        </w:rPr>
      </w:pPr>
      <w:r>
        <w:rPr>
          <w:rFonts w:hint="eastAsia" w:ascii="黑体" w:hAnsi="宋体" w:eastAsia="黑体" w:cs="宋体"/>
          <w:kern w:val="0"/>
          <w:sz w:val="24"/>
        </w:rPr>
        <w:t>3.2联合体投标</w:t>
      </w:r>
    </w:p>
    <w:p>
      <w:pPr>
        <w:autoSpaceDE w:val="0"/>
        <w:autoSpaceDN w:val="0"/>
        <w:spacing w:before="132"/>
        <w:ind w:left="718"/>
        <w:jc w:val="left"/>
        <w:rPr>
          <w:rFonts w:ascii="宋体" w:hAnsi="宋体" w:eastAsia="宋体" w:cs="宋体"/>
          <w:kern w:val="0"/>
          <w:sz w:val="24"/>
          <w:szCs w:val="24"/>
        </w:rPr>
      </w:pPr>
      <w:r>
        <w:rPr>
          <w:rFonts w:ascii="宋体" w:hAnsi="宋体" w:eastAsia="宋体" w:cs="宋体"/>
          <w:kern w:val="0"/>
          <w:sz w:val="24"/>
          <w:szCs w:val="24"/>
        </w:rPr>
        <w:t>本次招标</w:t>
      </w:r>
      <w:r>
        <w:rPr>
          <w:rFonts w:ascii="宋体" w:hAnsi="宋体" w:eastAsia="宋体" w:cs="宋体"/>
          <w:kern w:val="0"/>
          <w:sz w:val="24"/>
          <w:szCs w:val="24"/>
          <w:u w:val="single"/>
        </w:rPr>
        <w:t xml:space="preserve"> 不接受 </w:t>
      </w:r>
      <w:r>
        <w:rPr>
          <w:rFonts w:ascii="宋体" w:hAnsi="宋体" w:eastAsia="宋体" w:cs="宋体"/>
          <w:kern w:val="0"/>
          <w:sz w:val="24"/>
          <w:szCs w:val="24"/>
        </w:rPr>
        <w:t>联合体投标。</w:t>
      </w:r>
    </w:p>
    <w:p>
      <w:pPr>
        <w:tabs>
          <w:tab w:val="left" w:pos="1139"/>
        </w:tabs>
        <w:autoSpaceDE w:val="0"/>
        <w:autoSpaceDN w:val="0"/>
        <w:spacing w:before="134"/>
        <w:ind w:firstLine="720" w:firstLineChars="300"/>
        <w:jc w:val="left"/>
        <w:rPr>
          <w:rFonts w:ascii="黑体" w:hAnsi="宋体" w:eastAsia="黑体" w:cs="宋体"/>
          <w:kern w:val="0"/>
          <w:sz w:val="24"/>
        </w:rPr>
      </w:pPr>
      <w:r>
        <w:rPr>
          <w:rFonts w:hint="eastAsia" w:ascii="黑体" w:hAnsi="宋体" w:eastAsia="黑体" w:cs="宋体"/>
          <w:kern w:val="0"/>
          <w:sz w:val="24"/>
        </w:rPr>
        <w:t>3.3回避要求</w:t>
      </w:r>
    </w:p>
    <w:p>
      <w:pPr>
        <w:autoSpaceDE w:val="0"/>
        <w:autoSpaceDN w:val="0"/>
        <w:spacing w:before="132" w:line="343" w:lineRule="auto"/>
        <w:ind w:left="238" w:right="358" w:firstLine="480"/>
        <w:rPr>
          <w:rFonts w:ascii="宋体" w:hAnsi="宋体" w:eastAsia="宋体" w:cs="宋体"/>
          <w:kern w:val="0"/>
          <w:sz w:val="24"/>
          <w:szCs w:val="24"/>
        </w:rPr>
      </w:pPr>
      <w:r>
        <w:rPr>
          <w:rFonts w:ascii="宋体" w:hAnsi="宋体" w:eastAsia="宋体" w:cs="宋体"/>
          <w:spacing w:val="-4"/>
          <w:kern w:val="0"/>
          <w:sz w:val="24"/>
          <w:szCs w:val="24"/>
        </w:rPr>
        <w:t>与招标人存在利害关系可能影响招标公正性的单位，不得参加投标。单位负责人为</w:t>
      </w:r>
      <w:r>
        <w:rPr>
          <w:rFonts w:ascii="宋体" w:hAnsi="宋体" w:eastAsia="宋体" w:cs="宋体"/>
          <w:spacing w:val="-6"/>
          <w:kern w:val="0"/>
          <w:sz w:val="24"/>
          <w:szCs w:val="24"/>
        </w:rPr>
        <w:t>同一人或存在控股、管理关系的不同单位，不得参加同一标段投标，否则，相关投标均</w:t>
      </w:r>
      <w:r>
        <w:rPr>
          <w:rFonts w:ascii="宋体" w:hAnsi="宋体" w:eastAsia="宋体" w:cs="宋体"/>
          <w:kern w:val="0"/>
          <w:sz w:val="24"/>
          <w:szCs w:val="24"/>
        </w:rPr>
        <w:t>无效。</w:t>
      </w:r>
    </w:p>
    <w:p>
      <w:pPr>
        <w:tabs>
          <w:tab w:val="left" w:pos="1139"/>
        </w:tabs>
        <w:autoSpaceDE w:val="0"/>
        <w:autoSpaceDN w:val="0"/>
        <w:spacing w:before="1"/>
        <w:ind w:firstLine="720" w:firstLineChars="300"/>
        <w:jc w:val="left"/>
        <w:rPr>
          <w:rFonts w:ascii="黑体" w:hAnsi="宋体" w:eastAsia="黑体" w:cs="宋体"/>
          <w:kern w:val="0"/>
          <w:sz w:val="24"/>
        </w:rPr>
      </w:pPr>
      <w:r>
        <w:rPr>
          <w:rFonts w:hint="eastAsia" w:ascii="黑体" w:hAnsi="宋体" w:eastAsia="黑体" w:cs="宋体"/>
          <w:kern w:val="0"/>
          <w:sz w:val="24"/>
        </w:rPr>
        <w:t>3.4不良状况或不良信用记录</w:t>
      </w:r>
    </w:p>
    <w:p>
      <w:pPr>
        <w:autoSpaceDE w:val="0"/>
        <w:autoSpaceDN w:val="0"/>
        <w:spacing w:before="132"/>
        <w:ind w:left="718"/>
        <w:jc w:val="left"/>
        <w:rPr>
          <w:rFonts w:ascii="宋体" w:hAnsi="宋体" w:eastAsia="宋体" w:cs="宋体"/>
          <w:kern w:val="0"/>
          <w:sz w:val="24"/>
          <w:szCs w:val="24"/>
        </w:rPr>
      </w:pPr>
      <w:r>
        <w:rPr>
          <w:rFonts w:ascii="宋体" w:hAnsi="宋体" w:eastAsia="宋体" w:cs="宋体"/>
          <w:kern w:val="0"/>
          <w:sz w:val="24"/>
          <w:szCs w:val="24"/>
        </w:rPr>
        <w:t>投标人不得存在下列不良状况或不良信用记录：</w:t>
      </w:r>
    </w:p>
    <w:p>
      <w:pPr>
        <w:numPr>
          <w:ilvl w:val="0"/>
          <w:numId w:val="2"/>
        </w:numPr>
        <w:tabs>
          <w:tab w:val="left" w:pos="1324"/>
        </w:tabs>
        <w:autoSpaceDE w:val="0"/>
        <w:autoSpaceDN w:val="0"/>
        <w:spacing w:before="134" w:line="343" w:lineRule="auto"/>
        <w:ind w:right="357" w:firstLine="480"/>
        <w:jc w:val="left"/>
        <w:rPr>
          <w:rFonts w:ascii="宋体" w:hAnsi="宋体" w:eastAsia="宋体" w:cs="宋体"/>
          <w:kern w:val="0"/>
          <w:sz w:val="24"/>
        </w:rPr>
      </w:pPr>
      <w:r>
        <w:rPr>
          <w:rFonts w:ascii="宋体" w:hAnsi="宋体" w:eastAsia="宋体" w:cs="宋体"/>
          <w:kern w:val="0"/>
          <w:sz w:val="24"/>
        </w:rPr>
        <w:t>被省级及以上交通运输主管部门取消招标项目所在地的投标资格且处于有效期内；</w:t>
      </w:r>
    </w:p>
    <w:p>
      <w:pPr>
        <w:numPr>
          <w:ilvl w:val="0"/>
          <w:numId w:val="2"/>
        </w:numPr>
        <w:tabs>
          <w:tab w:val="left" w:pos="1320"/>
        </w:tabs>
        <w:autoSpaceDE w:val="0"/>
        <w:autoSpaceDN w:val="0"/>
        <w:spacing w:line="306" w:lineRule="exact"/>
        <w:ind w:left="1319" w:hanging="601"/>
        <w:jc w:val="left"/>
        <w:rPr>
          <w:rFonts w:ascii="宋体" w:hAnsi="宋体" w:eastAsia="宋体" w:cs="宋体"/>
          <w:kern w:val="0"/>
          <w:sz w:val="24"/>
        </w:rPr>
      </w:pPr>
      <w:r>
        <w:rPr>
          <w:rFonts w:ascii="宋体" w:hAnsi="宋体" w:eastAsia="宋体" w:cs="宋体"/>
          <w:kern w:val="0"/>
          <w:sz w:val="24"/>
        </w:rPr>
        <w:t>被责令停业，暂扣或吊销执照，或吊销资质证书；</w:t>
      </w:r>
    </w:p>
    <w:p>
      <w:pPr>
        <w:numPr>
          <w:ilvl w:val="0"/>
          <w:numId w:val="2"/>
        </w:numPr>
        <w:tabs>
          <w:tab w:val="left" w:pos="1320"/>
        </w:tabs>
        <w:autoSpaceDE w:val="0"/>
        <w:autoSpaceDN w:val="0"/>
        <w:spacing w:before="134"/>
        <w:ind w:left="1319" w:hanging="601"/>
        <w:jc w:val="left"/>
        <w:rPr>
          <w:rFonts w:ascii="宋体" w:hAnsi="宋体" w:eastAsia="宋体" w:cs="宋体"/>
          <w:kern w:val="0"/>
          <w:sz w:val="24"/>
        </w:rPr>
      </w:pPr>
      <w:r>
        <w:rPr>
          <w:rFonts w:ascii="宋体" w:hAnsi="宋体" w:eastAsia="宋体" w:cs="宋体"/>
          <w:kern w:val="0"/>
          <w:sz w:val="24"/>
        </w:rPr>
        <w:t>进入清算程序，或被宣告破产，或其他丧失履约能力的情形；</w:t>
      </w:r>
    </w:p>
    <w:p>
      <w:pPr>
        <w:numPr>
          <w:ilvl w:val="0"/>
          <w:numId w:val="2"/>
        </w:numPr>
        <w:tabs>
          <w:tab w:val="left" w:pos="1320"/>
        </w:tabs>
        <w:autoSpaceDE w:val="0"/>
        <w:autoSpaceDN w:val="0"/>
        <w:spacing w:before="132" w:line="343" w:lineRule="auto"/>
        <w:ind w:right="358" w:firstLine="480"/>
        <w:jc w:val="left"/>
        <w:rPr>
          <w:rFonts w:ascii="宋体" w:hAnsi="宋体" w:eastAsia="宋体" w:cs="宋体"/>
          <w:kern w:val="0"/>
          <w:sz w:val="24"/>
          <w:lang w:eastAsia="en-US"/>
        </w:rPr>
      </w:pPr>
      <w:r>
        <w:rPr>
          <w:rFonts w:ascii="宋体" w:hAnsi="宋体" w:eastAsia="宋体" w:cs="宋体"/>
          <w:spacing w:val="-1"/>
          <w:kern w:val="0"/>
          <w:sz w:val="24"/>
          <w:lang w:eastAsia="en-US"/>
        </w:rPr>
        <w:t>在国家企业信用信息公示系统（</w:t>
      </w:r>
      <w:r>
        <w:fldChar w:fldCharType="begin"/>
      </w:r>
      <w:r>
        <w:instrText xml:space="preserve"> HYPERLINK "http://www.gsxt.gov.cn/" \h </w:instrText>
      </w:r>
      <w:r>
        <w:fldChar w:fldCharType="separate"/>
      </w:r>
      <w:r>
        <w:rPr>
          <w:rFonts w:ascii="Times New Roman" w:hAnsi="宋体" w:eastAsia="Times New Roman" w:cs="宋体"/>
          <w:spacing w:val="-1"/>
          <w:kern w:val="0"/>
          <w:sz w:val="24"/>
          <w:lang w:eastAsia="en-US"/>
        </w:rPr>
        <w:t>http://www.gsxt.gov.cn</w:t>
      </w:r>
      <w:r>
        <w:rPr>
          <w:rFonts w:ascii="Times New Roman" w:hAnsi="宋体" w:eastAsia="Times New Roman" w:cs="宋体"/>
          <w:spacing w:val="-1"/>
          <w:kern w:val="0"/>
          <w:sz w:val="24"/>
          <w:lang w:eastAsia="en-US"/>
        </w:rPr>
        <w:fldChar w:fldCharType="end"/>
      </w:r>
      <w:r>
        <w:rPr>
          <w:rFonts w:ascii="宋体" w:hAnsi="宋体" w:eastAsia="宋体" w:cs="宋体"/>
          <w:spacing w:val="-1"/>
          <w:kern w:val="0"/>
          <w:sz w:val="24"/>
          <w:lang w:eastAsia="en-US"/>
        </w:rPr>
        <w:t>）</w:t>
      </w:r>
      <w:r>
        <w:rPr>
          <w:rFonts w:ascii="宋体" w:hAnsi="宋体" w:eastAsia="宋体" w:cs="宋体"/>
          <w:spacing w:val="-2"/>
          <w:kern w:val="0"/>
          <w:sz w:val="24"/>
          <w:lang w:eastAsia="en-US"/>
        </w:rPr>
        <w:t>中被列入严重违法失</w:t>
      </w:r>
      <w:r>
        <w:rPr>
          <w:rFonts w:ascii="宋体" w:hAnsi="宋体" w:eastAsia="宋体" w:cs="宋体"/>
          <w:kern w:val="0"/>
          <w:sz w:val="24"/>
          <w:lang w:eastAsia="en-US"/>
        </w:rPr>
        <w:t>信企业名单；</w:t>
      </w:r>
    </w:p>
    <w:p>
      <w:pPr>
        <w:numPr>
          <w:ilvl w:val="0"/>
          <w:numId w:val="2"/>
        </w:numPr>
        <w:tabs>
          <w:tab w:val="left" w:pos="1324"/>
        </w:tabs>
        <w:autoSpaceDE w:val="0"/>
        <w:autoSpaceDN w:val="0"/>
        <w:spacing w:before="8" w:line="343" w:lineRule="auto"/>
        <w:ind w:right="357" w:firstLine="480"/>
        <w:jc w:val="left"/>
        <w:rPr>
          <w:rFonts w:ascii="宋体" w:hAnsi="宋体" w:eastAsia="宋体" w:cs="宋体"/>
          <w:kern w:val="0"/>
          <w:sz w:val="23"/>
          <w:lang w:eastAsia="en-US"/>
        </w:rPr>
      </w:pPr>
      <w:r>
        <w:rPr>
          <w:rFonts w:ascii="宋体" w:hAnsi="宋体" w:eastAsia="宋体" w:cs="宋体"/>
          <w:kern w:val="0"/>
          <w:sz w:val="24"/>
          <w:lang w:eastAsia="en-US"/>
        </w:rPr>
        <w:t>在“信用中国”网站（</w:t>
      </w:r>
      <w:r>
        <w:fldChar w:fldCharType="begin"/>
      </w:r>
      <w:r>
        <w:instrText xml:space="preserve"> HYPERLINK "http://www.creditchina.gov.cn/" \h </w:instrText>
      </w:r>
      <w:r>
        <w:fldChar w:fldCharType="separate"/>
      </w:r>
      <w:r>
        <w:rPr>
          <w:rFonts w:ascii="Times New Roman" w:hAnsi="Times New Roman" w:eastAsia="Times New Roman" w:cs="宋体"/>
          <w:kern w:val="0"/>
          <w:sz w:val="24"/>
          <w:lang w:eastAsia="en-US"/>
        </w:rPr>
        <w:t>http://www.creditchina.gov.cn</w:t>
      </w:r>
      <w:r>
        <w:rPr>
          <w:rFonts w:ascii="Times New Roman" w:hAnsi="Times New Roman" w:eastAsia="Times New Roman" w:cs="宋体"/>
          <w:kern w:val="0"/>
          <w:sz w:val="24"/>
          <w:lang w:eastAsia="en-US"/>
        </w:rPr>
        <w:fldChar w:fldCharType="end"/>
      </w:r>
      <w:r>
        <w:rPr>
          <w:rFonts w:ascii="宋体" w:hAnsi="宋体" w:eastAsia="宋体" w:cs="宋体"/>
          <w:kern w:val="0"/>
          <w:sz w:val="24"/>
          <w:lang w:eastAsia="en-US"/>
        </w:rPr>
        <w:t>）中被列入失信被执行人名单；</w:t>
      </w:r>
    </w:p>
    <w:p>
      <w:pPr>
        <w:numPr>
          <w:ilvl w:val="0"/>
          <w:numId w:val="2"/>
        </w:numPr>
        <w:tabs>
          <w:tab w:val="left" w:pos="1320"/>
        </w:tabs>
        <w:autoSpaceDE w:val="0"/>
        <w:autoSpaceDN w:val="0"/>
        <w:spacing w:before="74"/>
        <w:ind w:left="1319" w:hanging="601"/>
        <w:jc w:val="left"/>
        <w:rPr>
          <w:rFonts w:ascii="宋体" w:hAnsi="宋体" w:eastAsia="宋体" w:cs="宋体"/>
          <w:kern w:val="0"/>
          <w:sz w:val="24"/>
        </w:rPr>
      </w:pPr>
      <w:r>
        <w:rPr>
          <w:rFonts w:ascii="宋体" w:hAnsi="宋体" w:eastAsia="宋体" w:cs="宋体"/>
          <w:spacing w:val="-3"/>
          <w:kern w:val="0"/>
          <w:sz w:val="24"/>
        </w:rPr>
        <w:t>投标人或其法定代表人、拟委任的项目负责人在近三年内有行贿犯罪行为的；</w:t>
      </w:r>
    </w:p>
    <w:p>
      <w:pPr>
        <w:numPr>
          <w:ilvl w:val="0"/>
          <w:numId w:val="2"/>
        </w:numPr>
        <w:tabs>
          <w:tab w:val="left" w:pos="1320"/>
        </w:tabs>
        <w:autoSpaceDE w:val="0"/>
        <w:autoSpaceDN w:val="0"/>
        <w:spacing w:before="134"/>
        <w:ind w:left="1319" w:hanging="601"/>
        <w:jc w:val="left"/>
        <w:rPr>
          <w:rFonts w:ascii="宋体" w:hAnsi="宋体" w:eastAsia="宋体" w:cs="宋体"/>
          <w:kern w:val="0"/>
          <w:sz w:val="24"/>
        </w:rPr>
      </w:pPr>
      <w:bookmarkStart w:id="12" w:name="_Hlk156126619"/>
      <w:r>
        <w:rPr>
          <w:rFonts w:ascii="宋体" w:hAnsi="宋体" w:eastAsia="宋体" w:cs="宋体"/>
          <w:kern w:val="0"/>
          <w:sz w:val="24"/>
        </w:rPr>
        <w:t>法律法规规定的其他情形。</w:t>
      </w:r>
      <w:bookmarkEnd w:id="11"/>
    </w:p>
    <w:bookmarkEnd w:id="12"/>
    <w:p>
      <w:pPr>
        <w:numPr>
          <w:ilvl w:val="0"/>
          <w:numId w:val="1"/>
        </w:numPr>
        <w:tabs>
          <w:tab w:val="left" w:pos="589"/>
        </w:tabs>
        <w:autoSpaceDE w:val="0"/>
        <w:autoSpaceDN w:val="0"/>
        <w:ind w:hanging="350"/>
        <w:jc w:val="left"/>
        <w:outlineLvl w:val="5"/>
        <w:rPr>
          <w:rFonts w:ascii="黑体" w:hAnsi="黑体" w:eastAsia="黑体" w:cs="黑体"/>
          <w:kern w:val="0"/>
          <w:sz w:val="28"/>
          <w:szCs w:val="28"/>
          <w:lang w:eastAsia="en-US"/>
        </w:rPr>
      </w:pPr>
      <w:bookmarkStart w:id="13" w:name="4._招标文件的获取"/>
      <w:bookmarkEnd w:id="13"/>
      <w:bookmarkStart w:id="14" w:name="_bookmark4"/>
      <w:bookmarkEnd w:id="14"/>
      <w:r>
        <w:rPr>
          <w:rFonts w:ascii="黑体" w:hAnsi="黑体" w:eastAsia="黑体" w:cs="黑体"/>
          <w:spacing w:val="-3"/>
          <w:kern w:val="0"/>
          <w:sz w:val="28"/>
          <w:szCs w:val="28"/>
          <w:lang w:eastAsia="en-US"/>
        </w:rPr>
        <w:t>招标文件的获取</w:t>
      </w:r>
    </w:p>
    <w:p>
      <w:pPr>
        <w:numPr>
          <w:ilvl w:val="1"/>
          <w:numId w:val="1"/>
        </w:numPr>
        <w:tabs>
          <w:tab w:val="left" w:pos="1139"/>
        </w:tabs>
        <w:autoSpaceDE w:val="0"/>
        <w:autoSpaceDN w:val="0"/>
        <w:spacing w:line="343" w:lineRule="auto"/>
        <w:ind w:left="238" w:right="354" w:firstLine="480"/>
        <w:jc w:val="left"/>
        <w:rPr>
          <w:rFonts w:ascii="Times New Roman" w:hAnsi="Times New Roman" w:eastAsia="Times New Roman" w:cs="宋体"/>
          <w:kern w:val="0"/>
          <w:sz w:val="24"/>
        </w:rPr>
      </w:pPr>
      <w:bookmarkStart w:id="15" w:name="_Hlk156126644"/>
      <w:r>
        <w:rPr>
          <w:rFonts w:ascii="宋体" w:hAnsi="宋体" w:eastAsia="宋体" w:cs="宋体"/>
          <w:spacing w:val="-3"/>
          <w:kern w:val="0"/>
          <w:sz w:val="24"/>
        </w:rPr>
        <w:t>凡有意参加投标者，请投标人于</w:t>
      </w:r>
      <w:r>
        <w:rPr>
          <w:rFonts w:ascii="Times New Roman" w:hAnsi="Times New Roman" w:eastAsia="Times New Roman" w:cs="宋体"/>
          <w:kern w:val="0"/>
          <w:sz w:val="24"/>
          <w:u w:val="single"/>
        </w:rPr>
        <w:t>202</w:t>
      </w:r>
      <w:r>
        <w:rPr>
          <w:rFonts w:hint="eastAsia" w:ascii="Times New Roman" w:hAnsi="Times New Roman" w:eastAsia="宋体" w:cs="宋体"/>
          <w:kern w:val="0"/>
          <w:sz w:val="24"/>
          <w:u w:val="single"/>
        </w:rPr>
        <w:t>4</w:t>
      </w:r>
      <w:r>
        <w:rPr>
          <w:rFonts w:ascii="宋体" w:hAnsi="宋体" w:eastAsia="宋体" w:cs="宋体"/>
          <w:kern w:val="0"/>
          <w:sz w:val="24"/>
        </w:rPr>
        <w:t>年</w:t>
      </w:r>
      <w:r>
        <w:rPr>
          <w:rFonts w:hint="eastAsia" w:ascii="宋体" w:hAnsi="宋体" w:eastAsia="宋体" w:cs="宋体"/>
          <w:kern w:val="0"/>
          <w:sz w:val="24"/>
          <w:u w:val="single"/>
        </w:rPr>
        <w:t>0</w:t>
      </w:r>
      <w:r>
        <w:rPr>
          <w:rFonts w:hint="eastAsia" w:ascii="Times New Roman" w:hAnsi="Times New Roman" w:eastAsia="宋体" w:cs="宋体"/>
          <w:kern w:val="0"/>
          <w:sz w:val="24"/>
          <w:u w:val="single"/>
        </w:rPr>
        <w:t>1</w:t>
      </w:r>
      <w:r>
        <w:rPr>
          <w:rFonts w:ascii="宋体" w:hAnsi="宋体" w:eastAsia="宋体" w:cs="宋体"/>
          <w:kern w:val="0"/>
          <w:sz w:val="24"/>
        </w:rPr>
        <w:t>月</w:t>
      </w:r>
      <w:r>
        <w:rPr>
          <w:rFonts w:hint="eastAsia" w:ascii="Times New Roman" w:hAnsi="Times New Roman" w:eastAsia="宋体" w:cs="宋体"/>
          <w:kern w:val="0"/>
          <w:sz w:val="24"/>
          <w:u w:val="single"/>
        </w:rPr>
        <w:t>23</w:t>
      </w:r>
      <w:r>
        <w:rPr>
          <w:rFonts w:ascii="宋体" w:hAnsi="宋体" w:eastAsia="宋体" w:cs="宋体"/>
          <w:spacing w:val="-30"/>
          <w:kern w:val="0"/>
          <w:sz w:val="24"/>
        </w:rPr>
        <w:t xml:space="preserve">日 </w:t>
      </w:r>
      <w:r>
        <w:rPr>
          <w:rFonts w:ascii="Times New Roman" w:hAnsi="Times New Roman" w:eastAsia="Times New Roman" w:cs="宋体"/>
          <w:kern w:val="0"/>
          <w:sz w:val="24"/>
        </w:rPr>
        <w:t xml:space="preserve">17:00 </w:t>
      </w:r>
      <w:r>
        <w:rPr>
          <w:rFonts w:ascii="宋体" w:hAnsi="宋体" w:eastAsia="宋体" w:cs="宋体"/>
          <w:spacing w:val="-20"/>
          <w:kern w:val="0"/>
          <w:sz w:val="24"/>
        </w:rPr>
        <w:t>时</w:t>
      </w:r>
      <w:r>
        <w:rPr>
          <w:rFonts w:ascii="宋体" w:hAnsi="宋体" w:eastAsia="宋体" w:cs="宋体"/>
          <w:kern w:val="0"/>
          <w:sz w:val="24"/>
        </w:rPr>
        <w:t>（</w:t>
      </w:r>
      <w:r>
        <w:rPr>
          <w:rFonts w:ascii="宋体" w:hAnsi="宋体" w:eastAsia="宋体" w:cs="宋体"/>
          <w:spacing w:val="-4"/>
          <w:kern w:val="0"/>
          <w:sz w:val="24"/>
        </w:rPr>
        <w:t>北京时间，下</w:t>
      </w:r>
      <w:r>
        <w:rPr>
          <w:rFonts w:ascii="宋体" w:hAnsi="宋体" w:eastAsia="宋体" w:cs="宋体"/>
          <w:spacing w:val="-1"/>
          <w:kern w:val="0"/>
          <w:sz w:val="24"/>
        </w:rPr>
        <w:t>同</w:t>
      </w:r>
      <w:r>
        <w:rPr>
          <w:rFonts w:ascii="宋体" w:hAnsi="宋体" w:eastAsia="宋体" w:cs="宋体"/>
          <w:spacing w:val="-15"/>
          <w:kern w:val="0"/>
          <w:sz w:val="24"/>
        </w:rPr>
        <w:t>）</w:t>
      </w:r>
      <w:r>
        <w:rPr>
          <w:rFonts w:ascii="宋体" w:hAnsi="宋体" w:eastAsia="宋体" w:cs="宋体"/>
          <w:spacing w:val="-8"/>
          <w:kern w:val="0"/>
          <w:sz w:val="24"/>
        </w:rPr>
        <w:t>之前，登录“辽宁省公共资源交易一张网电子化平台</w:t>
      </w:r>
      <w:r>
        <w:rPr>
          <w:rFonts w:ascii="宋体" w:hAnsi="宋体" w:eastAsia="宋体" w:cs="宋体"/>
          <w:spacing w:val="-1"/>
          <w:kern w:val="0"/>
          <w:sz w:val="24"/>
        </w:rPr>
        <w:t>（</w:t>
      </w:r>
      <w:r>
        <w:rPr>
          <w:rFonts w:ascii="Times New Roman" w:hAnsi="Times New Roman" w:eastAsia="Times New Roman" w:cs="宋体"/>
          <w:spacing w:val="-1"/>
          <w:kern w:val="0"/>
          <w:sz w:val="24"/>
        </w:rPr>
        <w:t>https:</w:t>
      </w:r>
      <w:r>
        <w:fldChar w:fldCharType="begin"/>
      </w:r>
      <w:r>
        <w:instrText xml:space="preserve"> HYPERLINK "http://www.lnsggzy.com/Epo" \h </w:instrText>
      </w:r>
      <w:r>
        <w:fldChar w:fldCharType="separate"/>
      </w:r>
      <w:r>
        <w:rPr>
          <w:rFonts w:ascii="Times New Roman" w:hAnsi="Times New Roman" w:eastAsia="Times New Roman" w:cs="宋体"/>
          <w:spacing w:val="-1"/>
          <w:kern w:val="0"/>
          <w:sz w:val="24"/>
        </w:rPr>
        <w:t>//www.lnsggzy.com/Epo</w:t>
      </w:r>
      <w:r>
        <w:rPr>
          <w:rFonts w:ascii="Times New Roman" w:hAnsi="Times New Roman" w:eastAsia="Times New Roman" w:cs="宋体"/>
          <w:spacing w:val="-1"/>
          <w:kern w:val="0"/>
          <w:sz w:val="24"/>
        </w:rPr>
        <w:fldChar w:fldCharType="end"/>
      </w:r>
    </w:p>
    <w:p>
      <w:pPr>
        <w:autoSpaceDE w:val="0"/>
        <w:autoSpaceDN w:val="0"/>
        <w:spacing w:line="343" w:lineRule="auto"/>
        <w:ind w:left="238" w:right="358"/>
        <w:rPr>
          <w:rFonts w:ascii="宋体" w:hAnsi="宋体" w:eastAsia="宋体" w:cs="宋体"/>
          <w:kern w:val="0"/>
          <w:sz w:val="24"/>
          <w:szCs w:val="24"/>
        </w:rPr>
      </w:pPr>
      <w:r>
        <w:rPr>
          <w:rFonts w:ascii="Times New Roman" w:hAnsi="Times New Roman" w:eastAsia="Times New Roman" w:cs="宋体"/>
          <w:spacing w:val="-3"/>
          <w:kern w:val="0"/>
          <w:sz w:val="24"/>
          <w:szCs w:val="24"/>
        </w:rPr>
        <w:t>intSSO/login/oauth2login</w:t>
      </w:r>
      <w:r>
        <w:rPr>
          <w:rFonts w:ascii="宋体" w:hAnsi="宋体" w:eastAsia="宋体" w:cs="宋体"/>
          <w:spacing w:val="-3"/>
          <w:kern w:val="0"/>
          <w:sz w:val="24"/>
          <w:szCs w:val="24"/>
        </w:rPr>
        <w:t>）”</w:t>
      </w:r>
      <w:r>
        <w:rPr>
          <w:rFonts w:ascii="宋体" w:hAnsi="宋体" w:eastAsia="宋体" w:cs="宋体"/>
          <w:spacing w:val="-7"/>
          <w:kern w:val="0"/>
          <w:sz w:val="24"/>
          <w:szCs w:val="24"/>
        </w:rPr>
        <w:t>进行投标确认，自行下载本次招标全部相关文件。请各投标</w:t>
      </w:r>
      <w:r>
        <w:rPr>
          <w:rFonts w:ascii="宋体" w:hAnsi="宋体" w:eastAsia="宋体" w:cs="宋体"/>
          <w:spacing w:val="-10"/>
          <w:kern w:val="0"/>
          <w:sz w:val="24"/>
          <w:szCs w:val="24"/>
        </w:rPr>
        <w:t>人随时关注“辽宁省公共资源交易一张网电子化平台”，及时获取相关信息，避免影响</w:t>
      </w:r>
      <w:r>
        <w:rPr>
          <w:rFonts w:ascii="宋体" w:hAnsi="宋体" w:eastAsia="宋体" w:cs="宋体"/>
          <w:kern w:val="0"/>
          <w:sz w:val="24"/>
          <w:szCs w:val="24"/>
        </w:rPr>
        <w:t>投标文件的编制，否则一切后果由投标人自行承担。</w:t>
      </w:r>
    </w:p>
    <w:p>
      <w:pPr>
        <w:numPr>
          <w:ilvl w:val="1"/>
          <w:numId w:val="1"/>
        </w:numPr>
        <w:tabs>
          <w:tab w:val="left" w:pos="1139"/>
        </w:tabs>
        <w:autoSpaceDE w:val="0"/>
        <w:autoSpaceDN w:val="0"/>
        <w:spacing w:line="343" w:lineRule="auto"/>
        <w:ind w:left="1138"/>
        <w:jc w:val="left"/>
        <w:rPr>
          <w:rFonts w:ascii="宋体" w:hAnsi="宋体" w:eastAsia="宋体" w:cs="宋体"/>
          <w:kern w:val="0"/>
          <w:sz w:val="24"/>
          <w:lang w:eastAsia="en-US"/>
        </w:rPr>
      </w:pPr>
      <w:r>
        <w:rPr>
          <w:rFonts w:ascii="宋体" w:hAnsi="宋体" w:eastAsia="宋体" w:cs="宋体"/>
          <w:kern w:val="0"/>
          <w:sz w:val="24"/>
          <w:lang w:eastAsia="en-US"/>
        </w:rPr>
        <w:t>招标文件售价</w:t>
      </w:r>
      <w:r>
        <w:rPr>
          <w:rFonts w:ascii="Times New Roman" w:hAnsi="宋体" w:eastAsia="Times New Roman" w:cs="宋体"/>
          <w:kern w:val="0"/>
          <w:sz w:val="24"/>
          <w:u w:val="single"/>
          <w:lang w:eastAsia="en-US"/>
        </w:rPr>
        <w:t>0</w:t>
      </w:r>
      <w:r>
        <w:rPr>
          <w:rFonts w:ascii="宋体" w:hAnsi="宋体" w:eastAsia="宋体" w:cs="宋体"/>
          <w:kern w:val="0"/>
          <w:sz w:val="24"/>
          <w:lang w:eastAsia="en-US"/>
        </w:rPr>
        <w:t>元。</w:t>
      </w:r>
    </w:p>
    <w:p>
      <w:pPr>
        <w:numPr>
          <w:ilvl w:val="1"/>
          <w:numId w:val="1"/>
        </w:numPr>
        <w:tabs>
          <w:tab w:val="left" w:pos="1139"/>
        </w:tabs>
        <w:autoSpaceDE w:val="0"/>
        <w:autoSpaceDN w:val="0"/>
        <w:spacing w:before="94" w:line="343" w:lineRule="auto"/>
        <w:ind w:left="1138"/>
        <w:jc w:val="left"/>
        <w:rPr>
          <w:rFonts w:ascii="宋体" w:hAnsi="宋体" w:eastAsia="宋体" w:cs="宋体"/>
          <w:kern w:val="0"/>
          <w:sz w:val="24"/>
        </w:rPr>
      </w:pPr>
      <w:r>
        <w:rPr>
          <w:rFonts w:ascii="宋体" w:hAnsi="宋体" w:eastAsia="宋体" w:cs="宋体"/>
          <w:kern w:val="0"/>
          <w:sz w:val="24"/>
        </w:rPr>
        <w:t>投标人须提交的投标保证金金额及其他相关要求详见招标文件。</w:t>
      </w:r>
      <w:bookmarkEnd w:id="15"/>
    </w:p>
    <w:p>
      <w:pPr>
        <w:numPr>
          <w:ilvl w:val="0"/>
          <w:numId w:val="1"/>
        </w:numPr>
        <w:tabs>
          <w:tab w:val="left" w:pos="589"/>
        </w:tabs>
        <w:autoSpaceDE w:val="0"/>
        <w:autoSpaceDN w:val="0"/>
        <w:ind w:hanging="350"/>
        <w:jc w:val="left"/>
        <w:outlineLvl w:val="5"/>
        <w:rPr>
          <w:rFonts w:ascii="黑体" w:hAnsi="黑体" w:eastAsia="黑体" w:cs="黑体"/>
          <w:kern w:val="0"/>
          <w:sz w:val="28"/>
          <w:szCs w:val="28"/>
        </w:rPr>
      </w:pPr>
      <w:bookmarkStart w:id="16" w:name="5._投标文件的递交及相关事宜"/>
      <w:bookmarkEnd w:id="16"/>
      <w:bookmarkStart w:id="17" w:name="_bookmark5"/>
      <w:bookmarkEnd w:id="17"/>
      <w:r>
        <w:rPr>
          <w:rFonts w:ascii="黑体" w:hAnsi="黑体" w:eastAsia="黑体" w:cs="黑体"/>
          <w:spacing w:val="-3"/>
          <w:kern w:val="0"/>
          <w:sz w:val="28"/>
          <w:szCs w:val="28"/>
        </w:rPr>
        <w:t>投标文件的递交及相关事宜</w:t>
      </w:r>
    </w:p>
    <w:p>
      <w:pPr>
        <w:numPr>
          <w:ilvl w:val="1"/>
          <w:numId w:val="1"/>
        </w:numPr>
        <w:tabs>
          <w:tab w:val="left" w:pos="1139"/>
        </w:tabs>
        <w:autoSpaceDE w:val="0"/>
        <w:autoSpaceDN w:val="0"/>
        <w:spacing w:line="345" w:lineRule="auto"/>
        <w:ind w:left="238" w:right="357" w:firstLine="480"/>
        <w:jc w:val="left"/>
        <w:rPr>
          <w:rFonts w:ascii="宋体" w:hAnsi="宋体" w:eastAsia="宋体" w:cs="宋体"/>
          <w:kern w:val="0"/>
          <w:sz w:val="24"/>
        </w:rPr>
      </w:pPr>
      <w:bookmarkStart w:id="18" w:name="_Hlk156126688"/>
      <w:r>
        <w:rPr>
          <w:rFonts w:ascii="宋体" w:hAnsi="宋体" w:eastAsia="宋体" w:cs="宋体"/>
          <w:spacing w:val="-1"/>
          <w:kern w:val="0"/>
          <w:sz w:val="24"/>
        </w:rPr>
        <w:t>招标人将不组织工程现场踏勘，不召开投标预备会，投标人在查阅招标文件后</w:t>
      </w:r>
      <w:r>
        <w:rPr>
          <w:rFonts w:ascii="宋体" w:hAnsi="宋体" w:eastAsia="宋体" w:cs="宋体"/>
          <w:kern w:val="0"/>
          <w:sz w:val="24"/>
        </w:rPr>
        <w:t>如有问题，可于规定的时间前发送至指定邮箱，由招标人统一解答。</w:t>
      </w:r>
    </w:p>
    <w:p>
      <w:pPr>
        <w:numPr>
          <w:ilvl w:val="1"/>
          <w:numId w:val="1"/>
        </w:numPr>
        <w:tabs>
          <w:tab w:val="left" w:pos="1199"/>
        </w:tabs>
        <w:autoSpaceDE w:val="0"/>
        <w:autoSpaceDN w:val="0"/>
        <w:spacing w:line="303" w:lineRule="exact"/>
        <w:ind w:left="1198"/>
        <w:jc w:val="left"/>
        <w:rPr>
          <w:rFonts w:ascii="Times New Roman" w:hAnsi="宋体" w:eastAsia="Times New Roman" w:cs="宋体"/>
          <w:kern w:val="0"/>
          <w:sz w:val="24"/>
        </w:rPr>
      </w:pPr>
      <w:r>
        <w:rPr>
          <w:rFonts w:ascii="宋体" w:hAnsi="宋体" w:eastAsia="宋体" w:cs="宋体"/>
          <w:spacing w:val="-2"/>
          <w:kern w:val="0"/>
          <w:sz w:val="24"/>
        </w:rPr>
        <w:t>投标文件递交的截止时间</w:t>
      </w:r>
      <w:r>
        <w:rPr>
          <w:rFonts w:ascii="宋体" w:hAnsi="宋体" w:eastAsia="宋体" w:cs="宋体"/>
          <w:kern w:val="0"/>
          <w:sz w:val="24"/>
        </w:rPr>
        <w:t>（</w:t>
      </w:r>
      <w:r>
        <w:rPr>
          <w:rFonts w:ascii="宋体" w:hAnsi="宋体" w:eastAsia="宋体" w:cs="宋体"/>
          <w:spacing w:val="-2"/>
          <w:kern w:val="0"/>
          <w:sz w:val="24"/>
        </w:rPr>
        <w:t>投标截止时间，下同</w:t>
      </w:r>
      <w:r>
        <w:rPr>
          <w:rFonts w:ascii="宋体" w:hAnsi="宋体" w:eastAsia="宋体" w:cs="宋体"/>
          <w:spacing w:val="-15"/>
          <w:kern w:val="0"/>
          <w:sz w:val="24"/>
        </w:rPr>
        <w:t>）</w:t>
      </w:r>
      <w:r>
        <w:rPr>
          <w:rFonts w:ascii="宋体" w:hAnsi="宋体" w:eastAsia="宋体" w:cs="宋体"/>
          <w:kern w:val="0"/>
          <w:sz w:val="24"/>
        </w:rPr>
        <w:t>为</w:t>
      </w:r>
      <w:r>
        <w:rPr>
          <w:rFonts w:ascii="Times New Roman" w:hAnsi="宋体" w:eastAsia="Times New Roman" w:cs="宋体"/>
          <w:kern w:val="0"/>
          <w:sz w:val="24"/>
          <w:u w:val="single"/>
        </w:rPr>
        <w:t>202</w:t>
      </w:r>
      <w:r>
        <w:rPr>
          <w:rFonts w:hint="eastAsia" w:ascii="Times New Roman" w:hAnsi="宋体" w:eastAsia="宋体" w:cs="宋体"/>
          <w:kern w:val="0"/>
          <w:sz w:val="24"/>
          <w:u w:val="single"/>
        </w:rPr>
        <w:t>4</w:t>
      </w:r>
      <w:r>
        <w:rPr>
          <w:rFonts w:ascii="宋体" w:hAnsi="宋体" w:eastAsia="宋体" w:cs="宋体"/>
          <w:kern w:val="0"/>
          <w:sz w:val="24"/>
        </w:rPr>
        <w:t>年</w:t>
      </w:r>
      <w:r>
        <w:rPr>
          <w:rFonts w:hint="eastAsia" w:ascii="Times New Roman" w:hAnsi="宋体" w:eastAsia="宋体" w:cs="宋体"/>
          <w:kern w:val="0"/>
          <w:sz w:val="24"/>
          <w:u w:val="single"/>
        </w:rPr>
        <w:t>02</w:t>
      </w:r>
      <w:r>
        <w:rPr>
          <w:rFonts w:ascii="宋体" w:hAnsi="宋体" w:eastAsia="宋体" w:cs="宋体"/>
          <w:kern w:val="0"/>
          <w:sz w:val="24"/>
        </w:rPr>
        <w:t>月</w:t>
      </w:r>
      <w:r>
        <w:rPr>
          <w:rFonts w:hint="eastAsia" w:ascii="Times New Roman" w:hAnsi="宋体" w:eastAsia="宋体" w:cs="宋体"/>
          <w:spacing w:val="-3"/>
          <w:kern w:val="0"/>
          <w:sz w:val="24"/>
          <w:u w:val="single"/>
        </w:rPr>
        <w:t>07</w:t>
      </w:r>
      <w:r>
        <w:rPr>
          <w:rFonts w:ascii="宋体" w:hAnsi="宋体" w:eastAsia="宋体" w:cs="宋体"/>
          <w:kern w:val="0"/>
          <w:sz w:val="24"/>
        </w:rPr>
        <w:t>日</w:t>
      </w:r>
      <w:r>
        <w:rPr>
          <w:rFonts w:ascii="Times New Roman" w:hAnsi="宋体" w:eastAsia="Times New Roman" w:cs="宋体"/>
          <w:kern w:val="0"/>
          <w:sz w:val="24"/>
          <w:u w:val="single"/>
        </w:rPr>
        <w:t>9</w:t>
      </w:r>
    </w:p>
    <w:p>
      <w:pPr>
        <w:autoSpaceDE w:val="0"/>
        <w:autoSpaceDN w:val="0"/>
        <w:spacing w:before="132" w:line="343" w:lineRule="auto"/>
        <w:ind w:left="229" w:leftChars="109" w:right="357"/>
        <w:rPr>
          <w:rFonts w:ascii="宋体" w:hAnsi="宋体" w:eastAsia="宋体" w:cs="宋体"/>
          <w:kern w:val="0"/>
          <w:sz w:val="24"/>
          <w:szCs w:val="24"/>
        </w:rPr>
      </w:pPr>
      <w:r>
        <w:rPr>
          <w:rFonts w:ascii="宋体" w:hAnsi="宋体" w:eastAsia="宋体" w:cs="宋体"/>
          <w:kern w:val="0"/>
          <w:sz w:val="24"/>
          <w:szCs w:val="24"/>
        </w:rPr>
        <w:t>时</w:t>
      </w:r>
      <w:r>
        <w:rPr>
          <w:rFonts w:ascii="Times New Roman" w:hAnsi="Times New Roman" w:eastAsia="Times New Roman" w:cs="宋体"/>
          <w:kern w:val="0"/>
          <w:sz w:val="24"/>
          <w:szCs w:val="24"/>
          <w:u w:val="single"/>
        </w:rPr>
        <w:t>30</w:t>
      </w:r>
      <w:r>
        <w:rPr>
          <w:rFonts w:ascii="宋体" w:hAnsi="宋体" w:eastAsia="宋体" w:cs="宋体"/>
          <w:kern w:val="0"/>
          <w:sz w:val="24"/>
          <w:szCs w:val="24"/>
        </w:rPr>
        <w:t>分。投标人应于投标截止时间前，将电子投标文件上传至</w:t>
      </w:r>
      <w:r>
        <w:rPr>
          <w:rFonts w:ascii="宋体" w:hAnsi="宋体" w:eastAsia="宋体" w:cs="宋体"/>
          <w:kern w:val="0"/>
          <w:sz w:val="24"/>
          <w:szCs w:val="24"/>
          <w:u w:val="single"/>
        </w:rPr>
        <w:t>“</w:t>
      </w:r>
      <w:r>
        <w:rPr>
          <w:rFonts w:hint="eastAsia" w:ascii="宋体" w:hAnsi="宋体" w:eastAsia="宋体" w:cs="宋体"/>
          <w:kern w:val="0"/>
          <w:sz w:val="24"/>
          <w:szCs w:val="24"/>
          <w:u w:val="single"/>
        </w:rPr>
        <w:t>辽宁省公共资源交易一张网电子化平台</w:t>
      </w:r>
      <w:r>
        <w:rPr>
          <w:rFonts w:ascii="宋体" w:hAnsi="宋体" w:eastAsia="宋体" w:cs="宋体"/>
          <w:kern w:val="0"/>
          <w:sz w:val="24"/>
          <w:szCs w:val="24"/>
          <w:u w:val="single"/>
        </w:rPr>
        <w:t>（</w:t>
      </w:r>
      <w:r>
        <w:rPr>
          <w:rFonts w:ascii="Times New Roman" w:hAnsi="Times New Roman" w:eastAsia="Times New Roman" w:cs="宋体"/>
          <w:kern w:val="0"/>
          <w:sz w:val="24"/>
          <w:szCs w:val="24"/>
          <w:u w:val="single"/>
        </w:rPr>
        <w:t>https://</w:t>
      </w:r>
      <w:r>
        <w:fldChar w:fldCharType="begin"/>
      </w:r>
      <w:r>
        <w:instrText xml:space="preserve"> HYPERLINK "http://www.lnsggzy.com/EpointSSO/login/oauth2login" \h </w:instrText>
      </w:r>
      <w:r>
        <w:fldChar w:fldCharType="separate"/>
      </w:r>
      <w:r>
        <w:rPr>
          <w:rFonts w:ascii="Times New Roman" w:hAnsi="Times New Roman" w:eastAsia="Times New Roman" w:cs="宋体"/>
          <w:kern w:val="0"/>
          <w:sz w:val="24"/>
          <w:szCs w:val="24"/>
          <w:u w:val="single"/>
        </w:rPr>
        <w:t>www.lnsggzy.com/EpointSSO/login/oauth2login</w:t>
      </w:r>
      <w:r>
        <w:rPr>
          <w:rFonts w:ascii="Times New Roman" w:hAnsi="Times New Roman" w:eastAsia="Times New Roman" w:cs="宋体"/>
          <w:kern w:val="0"/>
          <w:sz w:val="24"/>
          <w:szCs w:val="24"/>
          <w:u w:val="single"/>
        </w:rPr>
        <w:fldChar w:fldCharType="end"/>
      </w:r>
      <w:r>
        <w:rPr>
          <w:rFonts w:ascii="宋体" w:hAnsi="宋体" w:eastAsia="宋体" w:cs="宋体"/>
          <w:kern w:val="0"/>
          <w:sz w:val="24"/>
          <w:szCs w:val="24"/>
          <w:u w:val="single"/>
        </w:rPr>
        <w:t>）”</w:t>
      </w:r>
      <w:r>
        <w:rPr>
          <w:rFonts w:ascii="宋体" w:hAnsi="宋体" w:eastAsia="宋体" w:cs="宋体"/>
          <w:kern w:val="0"/>
          <w:sz w:val="24"/>
          <w:szCs w:val="24"/>
        </w:rPr>
        <w:t>，并于当日</w:t>
      </w:r>
      <w:r>
        <w:rPr>
          <w:rFonts w:ascii="Times New Roman" w:hAnsi="Times New Roman" w:eastAsia="Times New Roman" w:cs="宋体"/>
          <w:kern w:val="0"/>
          <w:sz w:val="24"/>
          <w:szCs w:val="24"/>
          <w:u w:val="single"/>
        </w:rPr>
        <w:t>9</w:t>
      </w:r>
      <w:r>
        <w:rPr>
          <w:rFonts w:ascii="宋体" w:hAnsi="宋体" w:eastAsia="宋体" w:cs="宋体"/>
          <w:kern w:val="0"/>
          <w:sz w:val="24"/>
          <w:szCs w:val="24"/>
        </w:rPr>
        <w:t>时</w:t>
      </w:r>
      <w:r>
        <w:rPr>
          <w:rFonts w:ascii="Times New Roman" w:hAnsi="Times New Roman" w:eastAsia="Times New Roman" w:cs="宋体"/>
          <w:kern w:val="0"/>
          <w:sz w:val="24"/>
          <w:szCs w:val="24"/>
          <w:u w:val="single"/>
        </w:rPr>
        <w:t>00</w:t>
      </w:r>
      <w:r>
        <w:rPr>
          <w:rFonts w:ascii="宋体" w:hAnsi="宋体" w:eastAsia="宋体" w:cs="宋体"/>
          <w:kern w:val="0"/>
          <w:sz w:val="24"/>
          <w:szCs w:val="24"/>
        </w:rPr>
        <w:t>分至</w:t>
      </w:r>
      <w:r>
        <w:rPr>
          <w:rFonts w:ascii="Times New Roman" w:hAnsi="Times New Roman" w:eastAsia="Times New Roman" w:cs="宋体"/>
          <w:kern w:val="0"/>
          <w:sz w:val="24"/>
          <w:szCs w:val="24"/>
          <w:u w:val="single"/>
        </w:rPr>
        <w:t>9</w:t>
      </w:r>
      <w:r>
        <w:rPr>
          <w:rFonts w:ascii="宋体" w:hAnsi="宋体" w:eastAsia="宋体" w:cs="宋体"/>
          <w:kern w:val="0"/>
          <w:sz w:val="24"/>
          <w:szCs w:val="24"/>
        </w:rPr>
        <w:t>时</w:t>
      </w:r>
      <w:r>
        <w:rPr>
          <w:rFonts w:ascii="Times New Roman" w:hAnsi="Times New Roman" w:eastAsia="Times New Roman" w:cs="宋体"/>
          <w:kern w:val="0"/>
          <w:sz w:val="24"/>
          <w:szCs w:val="24"/>
          <w:u w:val="single"/>
        </w:rPr>
        <w:t>30</w:t>
      </w:r>
      <w:r>
        <w:rPr>
          <w:rFonts w:ascii="宋体" w:hAnsi="宋体" w:eastAsia="宋体" w:cs="宋体"/>
          <w:kern w:val="0"/>
          <w:sz w:val="24"/>
          <w:szCs w:val="24"/>
        </w:rPr>
        <w:t>分将纸质投标文件递交至</w:t>
      </w:r>
      <w:r>
        <w:rPr>
          <w:rFonts w:ascii="宋体" w:hAnsi="宋体" w:eastAsia="宋体" w:cs="宋体"/>
          <w:kern w:val="0"/>
          <w:sz w:val="24"/>
          <w:szCs w:val="24"/>
          <w:u w:val="single"/>
        </w:rPr>
        <w:t xml:space="preserve"> 辽宁省公共资源交易中心（沈阳市</w:t>
      </w:r>
      <w:r>
        <w:rPr>
          <w:rFonts w:ascii="宋体" w:hAnsi="宋体" w:eastAsia="宋体" w:cs="宋体"/>
          <w:spacing w:val="-8"/>
          <w:kern w:val="0"/>
          <w:sz w:val="24"/>
          <w:szCs w:val="24"/>
          <w:u w:val="single"/>
        </w:rPr>
        <w:t xml:space="preserve">皇姑区崇山中路 </w:t>
      </w:r>
      <w:r>
        <w:rPr>
          <w:rFonts w:ascii="Times New Roman" w:hAnsi="Times New Roman" w:eastAsia="Times New Roman" w:cs="宋体"/>
          <w:kern w:val="0"/>
          <w:sz w:val="24"/>
          <w:szCs w:val="24"/>
          <w:u w:val="single"/>
        </w:rPr>
        <w:t xml:space="preserve">109 </w:t>
      </w:r>
      <w:r>
        <w:rPr>
          <w:rFonts w:ascii="宋体" w:hAnsi="宋体" w:eastAsia="宋体" w:cs="宋体"/>
          <w:kern w:val="0"/>
          <w:sz w:val="24"/>
          <w:szCs w:val="24"/>
          <w:u w:val="single"/>
        </w:rPr>
        <w:t>号百鸟公园东侧大楼）</w:t>
      </w:r>
      <w:r>
        <w:rPr>
          <w:rFonts w:ascii="宋体" w:hAnsi="宋体" w:eastAsia="宋体" w:cs="宋体"/>
          <w:spacing w:val="-1"/>
          <w:kern w:val="0"/>
          <w:sz w:val="24"/>
          <w:szCs w:val="24"/>
          <w:u w:val="single"/>
        </w:rPr>
        <w:t xml:space="preserve">开标会议室 </w:t>
      </w:r>
      <w:r>
        <w:rPr>
          <w:rFonts w:ascii="宋体" w:hAnsi="宋体" w:eastAsia="宋体" w:cs="宋体"/>
          <w:kern w:val="0"/>
          <w:sz w:val="24"/>
          <w:szCs w:val="24"/>
        </w:rPr>
        <w:t>。</w:t>
      </w:r>
    </w:p>
    <w:p>
      <w:pPr>
        <w:numPr>
          <w:ilvl w:val="1"/>
          <w:numId w:val="1"/>
        </w:numPr>
        <w:tabs>
          <w:tab w:val="left" w:pos="1139"/>
        </w:tabs>
        <w:autoSpaceDE w:val="0"/>
        <w:autoSpaceDN w:val="0"/>
        <w:spacing w:before="3" w:line="343" w:lineRule="auto"/>
        <w:ind w:left="238" w:right="357" w:firstLine="480"/>
        <w:jc w:val="left"/>
        <w:rPr>
          <w:rFonts w:ascii="宋体" w:hAnsi="宋体" w:eastAsia="宋体" w:cs="宋体"/>
          <w:kern w:val="0"/>
          <w:sz w:val="24"/>
        </w:rPr>
      </w:pPr>
      <w:r>
        <w:rPr>
          <w:rFonts w:ascii="宋体" w:hAnsi="宋体" w:eastAsia="宋体" w:cs="宋体"/>
          <w:spacing w:val="-1"/>
          <w:kern w:val="0"/>
          <w:sz w:val="24"/>
        </w:rPr>
        <w:t>本项目以电子交易为主，在开评标过程中，电子交易平台未发生系统技术性问</w:t>
      </w:r>
      <w:r>
        <w:rPr>
          <w:rFonts w:ascii="宋体" w:hAnsi="宋体" w:eastAsia="宋体" w:cs="宋体"/>
          <w:kern w:val="0"/>
          <w:sz w:val="24"/>
        </w:rPr>
        <w:t>题的，纸质交易不予开启。</w:t>
      </w:r>
    </w:p>
    <w:p>
      <w:pPr>
        <w:numPr>
          <w:ilvl w:val="1"/>
          <w:numId w:val="1"/>
        </w:numPr>
        <w:tabs>
          <w:tab w:val="left" w:pos="1139"/>
        </w:tabs>
        <w:autoSpaceDE w:val="0"/>
        <w:autoSpaceDN w:val="0"/>
        <w:spacing w:line="345" w:lineRule="auto"/>
        <w:ind w:left="238" w:right="354" w:firstLine="480"/>
        <w:jc w:val="left"/>
        <w:rPr>
          <w:rFonts w:ascii="宋体" w:hAnsi="宋体" w:eastAsia="宋体" w:cs="宋体"/>
          <w:kern w:val="0"/>
          <w:sz w:val="24"/>
        </w:rPr>
      </w:pPr>
      <w:r>
        <w:rPr>
          <w:rFonts w:ascii="宋体" w:hAnsi="宋体" w:eastAsia="宋体" w:cs="宋体"/>
          <w:spacing w:val="-4"/>
          <w:kern w:val="0"/>
          <w:sz w:val="24"/>
        </w:rPr>
        <w:t xml:space="preserve">投标人须携带生成投标文件的 </w:t>
      </w:r>
      <w:r>
        <w:rPr>
          <w:rFonts w:ascii="Times New Roman" w:hAnsi="宋体" w:eastAsia="Times New Roman" w:cs="宋体"/>
          <w:kern w:val="0"/>
          <w:sz w:val="24"/>
        </w:rPr>
        <w:t>CA</w:t>
      </w:r>
      <w:r>
        <w:rPr>
          <w:rFonts w:ascii="宋体" w:hAnsi="宋体" w:eastAsia="宋体" w:cs="宋体"/>
          <w:kern w:val="0"/>
          <w:sz w:val="24"/>
        </w:rPr>
        <w:t>锁及相关解密设备，在开标现场完成电子投标文件的解密工作。</w:t>
      </w:r>
    </w:p>
    <w:p>
      <w:pPr>
        <w:numPr>
          <w:ilvl w:val="1"/>
          <w:numId w:val="1"/>
        </w:numPr>
        <w:tabs>
          <w:tab w:val="left" w:pos="1079"/>
        </w:tabs>
        <w:autoSpaceDE w:val="0"/>
        <w:autoSpaceDN w:val="0"/>
        <w:spacing w:line="355" w:lineRule="auto"/>
        <w:ind w:left="238" w:right="356" w:firstLine="480"/>
        <w:jc w:val="left"/>
        <w:rPr>
          <w:rFonts w:ascii="Times New Roman" w:hAnsi="宋体" w:eastAsia="Times New Roman" w:cs="宋体"/>
          <w:kern w:val="0"/>
          <w:sz w:val="24"/>
          <w:lang w:eastAsia="en-US"/>
        </w:rPr>
      </w:pPr>
      <w:r>
        <w:rPr>
          <w:rFonts w:ascii="宋体" w:hAnsi="宋体" w:eastAsia="宋体" w:cs="宋体"/>
          <w:kern w:val="0"/>
          <w:sz w:val="24"/>
          <w:lang w:eastAsia="en-US"/>
        </w:rPr>
        <w:t>电子交易相关软件的下载：（</w:t>
      </w:r>
      <w:r>
        <w:rPr>
          <w:rFonts w:ascii="Times New Roman" w:hAnsi="宋体" w:eastAsia="Times New Roman" w:cs="宋体"/>
          <w:kern w:val="0"/>
          <w:sz w:val="24"/>
          <w:lang w:eastAsia="en-US"/>
        </w:rPr>
        <w:t>1</w:t>
      </w:r>
      <w:r>
        <w:rPr>
          <w:rFonts w:ascii="宋体" w:hAnsi="宋体" w:eastAsia="宋体" w:cs="宋体"/>
          <w:kern w:val="0"/>
          <w:sz w:val="24"/>
          <w:lang w:eastAsia="en-US"/>
        </w:rPr>
        <w:t>）驱动下载地址：</w:t>
      </w:r>
      <w:r>
        <w:rPr>
          <w:rFonts w:ascii="Times New Roman" w:hAnsi="宋体" w:eastAsia="Times New Roman" w:cs="宋体"/>
          <w:kern w:val="0"/>
          <w:sz w:val="24"/>
          <w:lang w:eastAsia="en-US"/>
        </w:rPr>
        <w:t>https://download.bqpoint.com/download/downloaddetail.html?SourceFrom=Ztb&amp;ZtbSoftXiaQuCode=0215&amp;ZtbSoftType=D</w:t>
      </w:r>
      <w:r>
        <w:rPr>
          <w:rFonts w:ascii="Times New Roman" w:hAnsi="宋体" w:eastAsia="Times New Roman" w:cs="宋体"/>
          <w:kern w:val="0"/>
          <w:sz w:val="22"/>
          <w:lang w:eastAsia="en-US"/>
        </w:rPr>
        <w:t>R</w:t>
      </w:r>
      <w:r>
        <w:rPr>
          <w:rFonts w:ascii="宋体" w:hAnsi="宋体" w:eastAsia="宋体" w:cs="宋体"/>
          <w:kern w:val="0"/>
          <w:sz w:val="22"/>
          <w:lang w:eastAsia="en-US"/>
        </w:rPr>
        <w:t>；（</w:t>
      </w:r>
      <w:r>
        <w:rPr>
          <w:rFonts w:ascii="Times New Roman" w:hAnsi="宋体" w:eastAsia="Times New Roman" w:cs="宋体"/>
          <w:kern w:val="0"/>
          <w:sz w:val="22"/>
          <w:lang w:eastAsia="en-US"/>
        </w:rPr>
        <w:t>2</w:t>
      </w:r>
      <w:r>
        <w:rPr>
          <w:rFonts w:ascii="宋体" w:hAnsi="宋体" w:eastAsia="宋体" w:cs="宋体"/>
          <w:kern w:val="0"/>
          <w:sz w:val="22"/>
          <w:lang w:eastAsia="en-US"/>
        </w:rPr>
        <w:t>）投标文件制作软件下载地址：</w:t>
      </w:r>
      <w:r>
        <w:rPr>
          <w:rFonts w:ascii="Times New Roman" w:hAnsi="宋体" w:eastAsia="Times New Roman" w:cs="宋体"/>
          <w:kern w:val="0"/>
          <w:sz w:val="22"/>
          <w:lang w:eastAsia="en-US"/>
        </w:rPr>
        <w:t>https://download.bqpoint.com/download/download</w:t>
      </w:r>
      <w:r>
        <w:rPr>
          <w:rFonts w:ascii="Times New Roman" w:hAnsi="宋体" w:eastAsia="Times New Roman" w:cs="宋体"/>
          <w:spacing w:val="-1"/>
          <w:kern w:val="0"/>
          <w:sz w:val="22"/>
          <w:lang w:eastAsia="en-US"/>
        </w:rPr>
        <w:t>detail.html?SourceFrom=Ztb&amp;ZtbSoftXiaQuCode=0209&amp;ZtbSoftType=tballinclusive</w:t>
      </w:r>
      <w:r>
        <w:rPr>
          <w:rFonts w:ascii="宋体" w:hAnsi="宋体" w:eastAsia="宋体" w:cs="宋体"/>
          <w:spacing w:val="-1"/>
          <w:kern w:val="0"/>
          <w:sz w:val="22"/>
          <w:lang w:eastAsia="en-US"/>
        </w:rPr>
        <w:t>；（</w:t>
      </w:r>
      <w:r>
        <w:rPr>
          <w:rFonts w:ascii="Times New Roman" w:hAnsi="宋体" w:eastAsia="Times New Roman" w:cs="宋体"/>
          <w:spacing w:val="-1"/>
          <w:kern w:val="0"/>
          <w:sz w:val="22"/>
          <w:lang w:eastAsia="en-US"/>
        </w:rPr>
        <w:t>3</w:t>
      </w:r>
      <w:r>
        <w:rPr>
          <w:rFonts w:ascii="宋体" w:hAnsi="宋体" w:eastAsia="宋体" w:cs="宋体"/>
          <w:spacing w:val="-1"/>
          <w:kern w:val="0"/>
          <w:sz w:val="22"/>
          <w:lang w:eastAsia="en-US"/>
        </w:rPr>
        <w:t xml:space="preserve">） </w:t>
      </w:r>
      <w:r>
        <w:rPr>
          <w:rFonts w:ascii="宋体" w:hAnsi="宋体" w:eastAsia="宋体" w:cs="宋体"/>
          <w:kern w:val="0"/>
          <w:sz w:val="22"/>
          <w:lang w:eastAsia="en-US"/>
        </w:rPr>
        <w:t>投标人操作手册下载地址：</w:t>
      </w:r>
      <w:r>
        <w:fldChar w:fldCharType="begin"/>
      </w:r>
      <w:r>
        <w:instrText xml:space="preserve"> HYPERLINK "http://ggzy.ln.gov.cn/fwdt/xzzx1/gczb/scxz/" \h </w:instrText>
      </w:r>
      <w:r>
        <w:fldChar w:fldCharType="separate"/>
      </w:r>
      <w:r>
        <w:rPr>
          <w:rFonts w:ascii="Times New Roman" w:hAnsi="宋体" w:eastAsia="Times New Roman" w:cs="宋体"/>
          <w:kern w:val="0"/>
          <w:sz w:val="22"/>
          <w:lang w:eastAsia="en-US"/>
        </w:rPr>
        <w:t>http://ggzy.ln.gov.cn/fwdt/xzzx1/gczb/</w:t>
      </w:r>
      <w:r>
        <w:rPr>
          <w:rFonts w:ascii="Times New Roman" w:hAnsi="宋体" w:eastAsia="Times New Roman" w:cs="宋体"/>
          <w:kern w:val="0"/>
          <w:sz w:val="22"/>
          <w:lang w:eastAsia="en-US"/>
        </w:rPr>
        <w:fldChar w:fldCharType="end"/>
      </w:r>
      <w:r>
        <w:rPr>
          <w:rFonts w:ascii="宋体" w:hAnsi="宋体" w:eastAsia="宋体" w:cs="宋体"/>
          <w:kern w:val="0"/>
          <w:sz w:val="22"/>
          <w:lang w:eastAsia="en-US"/>
        </w:rPr>
        <w:t xml:space="preserve"> 。</w:t>
      </w:r>
    </w:p>
    <w:p>
      <w:pPr>
        <w:numPr>
          <w:ilvl w:val="1"/>
          <w:numId w:val="1"/>
        </w:numPr>
        <w:tabs>
          <w:tab w:val="left" w:pos="1139"/>
        </w:tabs>
        <w:autoSpaceDE w:val="0"/>
        <w:autoSpaceDN w:val="0"/>
        <w:spacing w:before="1" w:line="343" w:lineRule="auto"/>
        <w:ind w:left="238" w:right="357" w:firstLine="480"/>
        <w:jc w:val="left"/>
        <w:rPr>
          <w:rFonts w:ascii="宋体" w:hAnsi="宋体" w:eastAsia="宋体" w:cs="宋体"/>
          <w:kern w:val="0"/>
          <w:sz w:val="24"/>
        </w:rPr>
      </w:pPr>
      <w:r>
        <w:rPr>
          <w:rFonts w:ascii="宋体" w:hAnsi="宋体" w:eastAsia="宋体" w:cs="宋体"/>
          <w:kern w:val="0"/>
          <w:sz w:val="24"/>
        </w:rPr>
        <w:t>逾期上传（或送达）的、未上传（或送达）</w:t>
      </w:r>
      <w:r>
        <w:rPr>
          <w:rFonts w:ascii="宋体" w:hAnsi="宋体" w:eastAsia="宋体" w:cs="宋体"/>
          <w:spacing w:val="-2"/>
          <w:kern w:val="0"/>
          <w:sz w:val="24"/>
        </w:rPr>
        <w:t>指定地点的或不按照招标文件要求</w:t>
      </w:r>
      <w:r>
        <w:rPr>
          <w:rFonts w:ascii="宋体" w:hAnsi="宋体" w:eastAsia="宋体" w:cs="宋体"/>
          <w:kern w:val="0"/>
          <w:sz w:val="24"/>
        </w:rPr>
        <w:t>加密（或密封）的投标文件，招标人将予以拒收。</w:t>
      </w:r>
    </w:p>
    <w:p>
      <w:pPr>
        <w:numPr>
          <w:ilvl w:val="1"/>
          <w:numId w:val="1"/>
        </w:numPr>
        <w:tabs>
          <w:tab w:val="left" w:pos="284"/>
        </w:tabs>
        <w:autoSpaceDE w:val="0"/>
        <w:autoSpaceDN w:val="0"/>
        <w:spacing w:before="3" w:line="343" w:lineRule="auto"/>
        <w:ind w:left="284" w:firstLine="434"/>
        <w:jc w:val="left"/>
        <w:rPr>
          <w:rFonts w:ascii="宋体" w:hAnsi="宋体" w:eastAsia="宋体" w:cs="宋体"/>
          <w:kern w:val="0"/>
          <w:sz w:val="22"/>
        </w:rPr>
      </w:pPr>
      <w:r>
        <w:rPr>
          <w:rFonts w:ascii="宋体" w:hAnsi="宋体" w:eastAsia="宋体" w:cs="宋体"/>
          <w:kern w:val="0"/>
          <w:sz w:val="24"/>
        </w:rPr>
        <w:t>纸质投标文件应由投标人法定代表人或委托代理人递交，递交人应携带身份证</w:t>
      </w:r>
      <w:r>
        <w:rPr>
          <w:rFonts w:ascii="宋体" w:hAnsi="宋体" w:eastAsia="宋体" w:cs="宋体"/>
          <w:kern w:val="0"/>
          <w:sz w:val="24"/>
          <w:szCs w:val="24"/>
        </w:rPr>
        <w:t>原件（委托代理人还应携带授权委托书原件）出席开标会。</w:t>
      </w:r>
    </w:p>
    <w:p>
      <w:pPr>
        <w:numPr>
          <w:ilvl w:val="1"/>
          <w:numId w:val="1"/>
        </w:numPr>
        <w:tabs>
          <w:tab w:val="left" w:pos="1081"/>
        </w:tabs>
        <w:autoSpaceDE w:val="0"/>
        <w:autoSpaceDN w:val="0"/>
        <w:spacing w:before="135" w:line="343" w:lineRule="auto"/>
        <w:ind w:left="238" w:right="357" w:firstLine="480"/>
        <w:jc w:val="left"/>
        <w:rPr>
          <w:rFonts w:ascii="宋体" w:hAnsi="宋体" w:eastAsia="宋体" w:cs="宋体"/>
          <w:kern w:val="0"/>
          <w:sz w:val="24"/>
        </w:rPr>
      </w:pPr>
      <w:r>
        <w:rPr>
          <w:rFonts w:ascii="宋体" w:hAnsi="宋体" w:eastAsia="宋体" w:cs="宋体"/>
          <w:kern w:val="0"/>
          <w:sz w:val="24"/>
        </w:rPr>
        <w:t>本次招标采用双信封形式的综合评估法，评标办法详见发布的本招标公告附件。</w:t>
      </w:r>
      <w:bookmarkEnd w:id="18"/>
    </w:p>
    <w:p>
      <w:pPr>
        <w:numPr>
          <w:ilvl w:val="0"/>
          <w:numId w:val="1"/>
        </w:numPr>
        <w:tabs>
          <w:tab w:val="left" w:pos="589"/>
        </w:tabs>
        <w:autoSpaceDE w:val="0"/>
        <w:autoSpaceDN w:val="0"/>
        <w:spacing w:before="129"/>
        <w:ind w:hanging="350"/>
        <w:jc w:val="left"/>
        <w:outlineLvl w:val="5"/>
        <w:rPr>
          <w:rFonts w:ascii="黑体" w:hAnsi="黑体" w:eastAsia="黑体" w:cs="黑体"/>
          <w:kern w:val="0"/>
          <w:sz w:val="28"/>
          <w:szCs w:val="28"/>
          <w:lang w:eastAsia="en-US"/>
        </w:rPr>
      </w:pPr>
      <w:bookmarkStart w:id="19" w:name="_bookmark6"/>
      <w:bookmarkEnd w:id="19"/>
      <w:bookmarkStart w:id="20" w:name="6._发布公告的媒介"/>
      <w:bookmarkEnd w:id="20"/>
      <w:r>
        <w:rPr>
          <w:rFonts w:ascii="黑体" w:hAnsi="黑体" w:eastAsia="黑体" w:cs="黑体"/>
          <w:spacing w:val="-3"/>
          <w:kern w:val="0"/>
          <w:sz w:val="28"/>
          <w:szCs w:val="28"/>
          <w:lang w:eastAsia="en-US"/>
        </w:rPr>
        <w:t>发布公告的媒介</w:t>
      </w:r>
    </w:p>
    <w:p>
      <w:pPr>
        <w:autoSpaceDE w:val="0"/>
        <w:autoSpaceDN w:val="0"/>
        <w:spacing w:before="1" w:line="343" w:lineRule="auto"/>
        <w:ind w:left="238" w:right="357" w:firstLine="482"/>
        <w:jc w:val="left"/>
        <w:rPr>
          <w:rFonts w:ascii="Times New Roman" w:hAnsi="宋体" w:eastAsia="Times New Roman" w:cs="宋体"/>
          <w:kern w:val="0"/>
          <w:sz w:val="24"/>
          <w:szCs w:val="24"/>
        </w:rPr>
      </w:pPr>
      <w:bookmarkStart w:id="21" w:name="_Hlk156126760"/>
      <w:r>
        <w:rPr>
          <w:rFonts w:ascii="宋体" w:hAnsi="宋体" w:eastAsia="宋体" w:cs="宋体"/>
          <w:spacing w:val="-5"/>
          <w:kern w:val="0"/>
          <w:sz w:val="24"/>
          <w:szCs w:val="24"/>
          <w:lang w:eastAsia="en-US"/>
        </w:rPr>
        <w:t>本次招标公告同时在《辽宁省招标投标监管网》</w:t>
      </w:r>
      <w:r>
        <w:rPr>
          <w:rFonts w:ascii="宋体" w:hAnsi="宋体" w:eastAsia="宋体" w:cs="宋体"/>
          <w:spacing w:val="-3"/>
          <w:kern w:val="0"/>
          <w:sz w:val="24"/>
          <w:szCs w:val="24"/>
          <w:lang w:eastAsia="en-US"/>
        </w:rPr>
        <w:t>（</w:t>
      </w:r>
      <w:r>
        <w:fldChar w:fldCharType="begin"/>
      </w:r>
      <w:r>
        <w:instrText xml:space="preserve"> HYPERLINK "http://www.lntb.gov.cn/" \h </w:instrText>
      </w:r>
      <w:r>
        <w:fldChar w:fldCharType="separate"/>
      </w:r>
      <w:r>
        <w:rPr>
          <w:rFonts w:ascii="Times New Roman" w:hAnsi="宋体" w:eastAsia="Times New Roman" w:cs="宋体"/>
          <w:spacing w:val="-3"/>
          <w:kern w:val="0"/>
          <w:sz w:val="24"/>
          <w:szCs w:val="24"/>
          <w:lang w:eastAsia="en-US"/>
        </w:rPr>
        <w:t>http://www.lntb.gov.cn</w:t>
      </w:r>
      <w:r>
        <w:rPr>
          <w:rFonts w:ascii="Times New Roman" w:hAnsi="宋体" w:eastAsia="Times New Roman" w:cs="宋体"/>
          <w:spacing w:val="-3"/>
          <w:kern w:val="0"/>
          <w:sz w:val="24"/>
          <w:szCs w:val="24"/>
          <w:lang w:eastAsia="en-US"/>
        </w:rPr>
        <w:fldChar w:fldCharType="end"/>
      </w:r>
      <w:r>
        <w:rPr>
          <w:rFonts w:ascii="宋体" w:hAnsi="宋体" w:eastAsia="宋体" w:cs="宋体"/>
          <w:spacing w:val="-3"/>
          <w:kern w:val="0"/>
          <w:sz w:val="24"/>
          <w:szCs w:val="24"/>
          <w:lang w:eastAsia="en-US"/>
        </w:rPr>
        <w:t>）</w:t>
      </w:r>
      <w:r>
        <w:rPr>
          <w:rFonts w:ascii="宋体" w:hAnsi="宋体" w:eastAsia="宋体" w:cs="宋体"/>
          <w:spacing w:val="-9"/>
          <w:kern w:val="0"/>
          <w:sz w:val="24"/>
          <w:szCs w:val="24"/>
          <w:lang w:eastAsia="en-US"/>
        </w:rPr>
        <w:t>、《辽宁</w:t>
      </w:r>
      <w:r>
        <w:rPr>
          <w:rFonts w:ascii="宋体" w:hAnsi="宋体" w:eastAsia="宋体" w:cs="宋体"/>
          <w:spacing w:val="-1"/>
          <w:kern w:val="0"/>
          <w:sz w:val="24"/>
          <w:szCs w:val="24"/>
          <w:lang w:eastAsia="en-US"/>
        </w:rPr>
        <w:t>省公共资源交易网》（</w:t>
      </w:r>
      <w:r>
        <w:fldChar w:fldCharType="begin"/>
      </w:r>
      <w:r>
        <w:instrText xml:space="preserve"> HYPERLINK "http://ggzy.ln.gov.cn/" \h </w:instrText>
      </w:r>
      <w:r>
        <w:fldChar w:fldCharType="separate"/>
      </w:r>
      <w:r>
        <w:rPr>
          <w:rFonts w:ascii="Times New Roman" w:hAnsi="宋体" w:eastAsia="Times New Roman" w:cs="宋体"/>
          <w:spacing w:val="-1"/>
          <w:kern w:val="0"/>
          <w:sz w:val="24"/>
          <w:szCs w:val="24"/>
          <w:lang w:eastAsia="en-US"/>
        </w:rPr>
        <w:t>http://ggzy.ln.gov.cn</w:t>
      </w:r>
      <w:r>
        <w:rPr>
          <w:rFonts w:ascii="Times New Roman" w:hAnsi="宋体" w:eastAsia="Times New Roman" w:cs="宋体"/>
          <w:spacing w:val="-1"/>
          <w:kern w:val="0"/>
          <w:sz w:val="24"/>
          <w:szCs w:val="24"/>
          <w:lang w:eastAsia="en-US"/>
        </w:rPr>
        <w:fldChar w:fldCharType="end"/>
      </w:r>
      <w:r>
        <w:rPr>
          <w:rFonts w:ascii="宋体" w:hAnsi="宋体" w:eastAsia="宋体" w:cs="宋体"/>
          <w:spacing w:val="-1"/>
          <w:kern w:val="0"/>
          <w:sz w:val="24"/>
          <w:szCs w:val="24"/>
          <w:lang w:eastAsia="en-US"/>
        </w:rPr>
        <w:t>）</w:t>
      </w:r>
      <w:r>
        <w:rPr>
          <w:rFonts w:ascii="宋体" w:hAnsi="宋体" w:eastAsia="宋体" w:cs="宋体"/>
          <w:kern w:val="0"/>
          <w:sz w:val="24"/>
          <w:szCs w:val="24"/>
          <w:lang w:eastAsia="en-US"/>
        </w:rPr>
        <w:t>、《辽宁省交通运输厅网站》（</w:t>
      </w:r>
      <w:r>
        <w:fldChar w:fldCharType="begin"/>
      </w:r>
      <w:r>
        <w:instrText xml:space="preserve"> HYPERLINK "http://jtt.ln/" \h </w:instrText>
      </w:r>
      <w:r>
        <w:fldChar w:fldCharType="separate"/>
      </w:r>
      <w:r>
        <w:rPr>
          <w:rFonts w:ascii="Times New Roman" w:hAnsi="宋体" w:eastAsia="Times New Roman" w:cs="宋体"/>
          <w:kern w:val="0"/>
          <w:sz w:val="24"/>
          <w:szCs w:val="24"/>
          <w:lang w:eastAsia="en-US"/>
        </w:rPr>
        <w:t>http://jtt.ln.</w:t>
      </w:r>
      <w:r>
        <w:rPr>
          <w:rFonts w:ascii="Times New Roman" w:hAnsi="宋体" w:eastAsia="Times New Roman" w:cs="宋体"/>
          <w:kern w:val="0"/>
          <w:sz w:val="24"/>
          <w:szCs w:val="24"/>
          <w:lang w:eastAsia="en-US"/>
        </w:rPr>
        <w:fldChar w:fldCharType="end"/>
      </w:r>
      <w:r>
        <w:rPr>
          <w:rFonts w:ascii="Times New Roman" w:hAnsi="宋体" w:eastAsia="Times New Roman" w:cs="宋体"/>
          <w:spacing w:val="-3"/>
          <w:kern w:val="0"/>
          <w:sz w:val="24"/>
          <w:szCs w:val="24"/>
          <w:lang w:eastAsia="en-US"/>
        </w:rPr>
        <w:t>gov.cn</w:t>
      </w:r>
      <w:r>
        <w:rPr>
          <w:rFonts w:ascii="宋体" w:hAnsi="宋体" w:eastAsia="宋体" w:cs="宋体"/>
          <w:spacing w:val="-3"/>
          <w:kern w:val="0"/>
          <w:sz w:val="24"/>
          <w:szCs w:val="24"/>
          <w:lang w:eastAsia="en-US"/>
        </w:rPr>
        <w:t>）</w:t>
      </w:r>
      <w:r>
        <w:rPr>
          <w:rFonts w:ascii="宋体" w:hAnsi="宋体" w:eastAsia="宋体" w:cs="宋体"/>
          <w:kern w:val="0"/>
          <w:sz w:val="24"/>
          <w:szCs w:val="24"/>
          <w:lang w:eastAsia="en-US"/>
        </w:rPr>
        <w:t>及《中国招标投标公共服务平台（</w:t>
      </w:r>
      <w:r>
        <w:fldChar w:fldCharType="begin"/>
      </w:r>
      <w:r>
        <w:instrText xml:space="preserve"> HYPERLINK "http://www.cebpubservice.com/" \h </w:instrText>
      </w:r>
      <w:r>
        <w:fldChar w:fldCharType="separate"/>
      </w:r>
      <w:r>
        <w:rPr>
          <w:rFonts w:ascii="Times New Roman" w:hAnsi="宋体" w:eastAsia="Times New Roman" w:cs="宋体"/>
          <w:kern w:val="0"/>
          <w:sz w:val="24"/>
          <w:szCs w:val="24"/>
          <w:lang w:eastAsia="en-US"/>
        </w:rPr>
        <w:t>http://www.cebpubservice.com</w:t>
      </w:r>
      <w:r>
        <w:rPr>
          <w:rFonts w:ascii="Times New Roman" w:hAnsi="宋体" w:eastAsia="Times New Roman" w:cs="宋体"/>
          <w:kern w:val="0"/>
          <w:sz w:val="24"/>
          <w:szCs w:val="24"/>
          <w:lang w:eastAsia="en-US"/>
        </w:rPr>
        <w:fldChar w:fldCharType="end"/>
      </w:r>
      <w:r>
        <w:rPr>
          <w:rFonts w:ascii="宋体" w:hAnsi="宋体" w:eastAsia="宋体" w:cs="宋体"/>
          <w:kern w:val="0"/>
          <w:sz w:val="24"/>
          <w:szCs w:val="24"/>
          <w:lang w:eastAsia="en-US"/>
        </w:rPr>
        <w:t>）上发布。</w:t>
      </w:r>
      <w:r>
        <w:rPr>
          <w:rFonts w:ascii="宋体" w:hAnsi="宋体" w:eastAsia="宋体" w:cs="宋体"/>
          <w:spacing w:val="-7"/>
          <w:kern w:val="0"/>
          <w:sz w:val="24"/>
          <w:szCs w:val="24"/>
        </w:rPr>
        <w:t xml:space="preserve">潜在投标人或者其他利害关系人如对本项目招标文件有异议，可在投标截止时间 </w:t>
      </w:r>
      <w:r>
        <w:rPr>
          <w:rFonts w:ascii="Times New Roman" w:hAnsi="宋体" w:eastAsia="Times New Roman" w:cs="宋体"/>
          <w:spacing w:val="-9"/>
          <w:kern w:val="0"/>
          <w:sz w:val="24"/>
          <w:szCs w:val="24"/>
        </w:rPr>
        <w:t>10</w:t>
      </w:r>
      <w:r>
        <w:rPr>
          <w:rFonts w:ascii="宋体" w:hAnsi="宋体" w:eastAsia="宋体" w:cs="宋体"/>
          <w:kern w:val="0"/>
          <w:sz w:val="24"/>
          <w:szCs w:val="24"/>
        </w:rPr>
        <w:t>日前按照《中华人民共和国招标投标法实施条例》中的有关规定向招标人提出。</w:t>
      </w:r>
      <w:bookmarkEnd w:id="21"/>
    </w:p>
    <w:p>
      <w:pPr>
        <w:numPr>
          <w:ilvl w:val="0"/>
          <w:numId w:val="1"/>
        </w:numPr>
        <w:tabs>
          <w:tab w:val="left" w:pos="589"/>
        </w:tabs>
        <w:autoSpaceDE w:val="0"/>
        <w:autoSpaceDN w:val="0"/>
        <w:ind w:hanging="350"/>
        <w:jc w:val="left"/>
        <w:outlineLvl w:val="5"/>
        <w:rPr>
          <w:rFonts w:ascii="黑体" w:hAnsi="黑体" w:eastAsia="黑体" w:cs="黑体"/>
          <w:kern w:val="0"/>
          <w:sz w:val="28"/>
          <w:szCs w:val="28"/>
          <w:lang w:eastAsia="en-US"/>
        </w:rPr>
      </w:pPr>
      <w:bookmarkStart w:id="22" w:name="_bookmark7"/>
      <w:bookmarkEnd w:id="22"/>
      <w:bookmarkStart w:id="23" w:name="7._联系方式"/>
      <w:bookmarkEnd w:id="23"/>
      <w:r>
        <w:rPr>
          <w:rFonts w:ascii="黑体" w:hAnsi="黑体" w:eastAsia="黑体" w:cs="黑体"/>
          <w:spacing w:val="-2"/>
          <w:kern w:val="0"/>
          <w:sz w:val="28"/>
          <w:szCs w:val="28"/>
          <w:lang w:eastAsia="en-US"/>
        </w:rPr>
        <w:t>联系方式</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bookmarkStart w:id="24" w:name="OLE_LINK5"/>
      <w:bookmarkStart w:id="25" w:name="_Hlk156126773"/>
      <w:r>
        <w:rPr>
          <w:rFonts w:hint="eastAsia" w:ascii="宋体" w:hAnsi="宋体" w:eastAsia="宋体" w:cs="Times New Roman"/>
          <w:spacing w:val="-1"/>
          <w:kern w:val="0"/>
          <w:position w:val="14"/>
          <w:sz w:val="24"/>
          <w:szCs w:val="24"/>
        </w:rPr>
        <w:t>监督部门：本溪市交通运输局</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联 系 人：徐先生</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地    址：本溪市明山区解放北路</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电    话：024-42818180</w:t>
      </w:r>
      <w:bookmarkEnd w:id="24"/>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p>
    <w:p>
      <w:pPr>
        <w:widowControl/>
        <w:kinsoku w:val="0"/>
        <w:autoSpaceDE w:val="0"/>
        <w:autoSpaceDN w:val="0"/>
        <w:adjustRightInd w:val="0"/>
        <w:snapToGrid w:val="0"/>
        <w:spacing w:line="360" w:lineRule="auto"/>
        <w:ind w:firstLine="714"/>
        <w:jc w:val="left"/>
        <w:textAlignment w:val="baseline"/>
        <w:rPr>
          <w:rFonts w:ascii="宋体" w:hAnsi="宋体" w:eastAsia="宋体" w:cs="Times New Roman"/>
          <w:spacing w:val="-2"/>
          <w:kern w:val="0"/>
          <w:sz w:val="24"/>
          <w:szCs w:val="24"/>
        </w:rPr>
      </w:pPr>
      <w:r>
        <w:rPr>
          <w:rFonts w:ascii="宋体" w:hAnsi="宋体" w:eastAsia="宋体" w:cs="Times New Roman"/>
          <w:spacing w:val="-2"/>
          <w:kern w:val="0"/>
          <w:sz w:val="24"/>
          <w:szCs w:val="24"/>
        </w:rPr>
        <w:t>招标人：本溪市交通事业发展服务中心</w:t>
      </w:r>
    </w:p>
    <w:p>
      <w:pPr>
        <w:widowControl/>
        <w:kinsoku w:val="0"/>
        <w:autoSpaceDE w:val="0"/>
        <w:autoSpaceDN w:val="0"/>
        <w:adjustRightInd w:val="0"/>
        <w:snapToGrid w:val="0"/>
        <w:spacing w:line="360" w:lineRule="auto"/>
        <w:ind w:firstLine="714"/>
        <w:jc w:val="left"/>
        <w:textAlignment w:val="baseline"/>
        <w:rPr>
          <w:rFonts w:ascii="宋体" w:hAnsi="宋体" w:eastAsia="宋体" w:cs="Times New Roman"/>
          <w:spacing w:val="-2"/>
          <w:kern w:val="0"/>
          <w:sz w:val="24"/>
          <w:szCs w:val="24"/>
        </w:rPr>
      </w:pPr>
      <w:r>
        <w:rPr>
          <w:rFonts w:ascii="宋体" w:hAnsi="宋体" w:eastAsia="宋体" w:cs="Times New Roman"/>
          <w:spacing w:val="-2"/>
          <w:kern w:val="0"/>
          <w:sz w:val="24"/>
          <w:szCs w:val="24"/>
        </w:rPr>
        <w:t>地址：本溪市华程路46号</w:t>
      </w:r>
    </w:p>
    <w:p>
      <w:pPr>
        <w:widowControl/>
        <w:kinsoku w:val="0"/>
        <w:autoSpaceDE w:val="0"/>
        <w:autoSpaceDN w:val="0"/>
        <w:adjustRightInd w:val="0"/>
        <w:snapToGrid w:val="0"/>
        <w:spacing w:line="360" w:lineRule="auto"/>
        <w:ind w:firstLine="714"/>
        <w:jc w:val="left"/>
        <w:textAlignment w:val="baseline"/>
        <w:rPr>
          <w:rFonts w:ascii="宋体" w:hAnsi="宋体" w:eastAsia="宋体" w:cs="Times New Roman"/>
          <w:spacing w:val="-2"/>
          <w:kern w:val="0"/>
          <w:sz w:val="24"/>
          <w:szCs w:val="24"/>
        </w:rPr>
      </w:pPr>
      <w:r>
        <w:rPr>
          <w:rFonts w:ascii="宋体" w:hAnsi="宋体" w:eastAsia="宋体" w:cs="Times New Roman"/>
          <w:spacing w:val="-2"/>
          <w:kern w:val="0"/>
          <w:sz w:val="24"/>
          <w:szCs w:val="24"/>
        </w:rPr>
        <w:t>邮政编码：117022</w:t>
      </w:r>
    </w:p>
    <w:p>
      <w:pPr>
        <w:widowControl/>
        <w:kinsoku w:val="0"/>
        <w:autoSpaceDE w:val="0"/>
        <w:autoSpaceDN w:val="0"/>
        <w:adjustRightInd w:val="0"/>
        <w:snapToGrid w:val="0"/>
        <w:spacing w:line="360" w:lineRule="auto"/>
        <w:ind w:firstLine="714"/>
        <w:jc w:val="left"/>
        <w:textAlignment w:val="baseline"/>
        <w:rPr>
          <w:rFonts w:ascii="宋体" w:hAnsi="宋体" w:eastAsia="宋体" w:cs="Times New Roman"/>
          <w:spacing w:val="-2"/>
          <w:kern w:val="0"/>
          <w:sz w:val="24"/>
          <w:szCs w:val="24"/>
        </w:rPr>
      </w:pPr>
      <w:r>
        <w:rPr>
          <w:rFonts w:ascii="宋体" w:hAnsi="宋体" w:eastAsia="宋体" w:cs="Times New Roman"/>
          <w:spacing w:val="-2"/>
          <w:kern w:val="0"/>
          <w:sz w:val="24"/>
          <w:szCs w:val="24"/>
        </w:rPr>
        <w:t>联系人：</w:t>
      </w:r>
      <w:r>
        <w:rPr>
          <w:rFonts w:hint="eastAsia" w:ascii="宋体" w:hAnsi="宋体" w:eastAsia="宋体" w:cs="Times New Roman"/>
          <w:spacing w:val="-2"/>
          <w:kern w:val="0"/>
          <w:sz w:val="24"/>
          <w:szCs w:val="24"/>
        </w:rPr>
        <w:t>赵先生</w:t>
      </w:r>
    </w:p>
    <w:p>
      <w:pPr>
        <w:widowControl/>
        <w:kinsoku w:val="0"/>
        <w:autoSpaceDE w:val="0"/>
        <w:autoSpaceDN w:val="0"/>
        <w:adjustRightInd w:val="0"/>
        <w:snapToGrid w:val="0"/>
        <w:spacing w:line="360" w:lineRule="auto"/>
        <w:ind w:firstLine="714"/>
        <w:jc w:val="left"/>
        <w:textAlignment w:val="baseline"/>
        <w:rPr>
          <w:rFonts w:ascii="宋体" w:hAnsi="宋体" w:eastAsia="宋体" w:cs="Times New Roman"/>
          <w:spacing w:val="-2"/>
          <w:kern w:val="0"/>
          <w:sz w:val="24"/>
          <w:szCs w:val="24"/>
        </w:rPr>
      </w:pPr>
      <w:r>
        <w:rPr>
          <w:rFonts w:ascii="宋体" w:hAnsi="宋体" w:eastAsia="宋体" w:cs="Times New Roman"/>
          <w:spacing w:val="-2"/>
          <w:kern w:val="0"/>
          <w:sz w:val="24"/>
          <w:szCs w:val="24"/>
        </w:rPr>
        <w:t>电话：</w:t>
      </w:r>
      <w:r>
        <w:rPr>
          <w:rFonts w:hint="eastAsia" w:ascii="宋体" w:hAnsi="宋体" w:eastAsia="宋体" w:cs="Times New Roman"/>
          <w:spacing w:val="-2"/>
          <w:kern w:val="0"/>
          <w:sz w:val="24"/>
          <w:szCs w:val="24"/>
        </w:rPr>
        <w:t>024-47197028</w:t>
      </w:r>
    </w:p>
    <w:p>
      <w:pPr>
        <w:widowControl/>
        <w:kinsoku w:val="0"/>
        <w:autoSpaceDE w:val="0"/>
        <w:autoSpaceDN w:val="0"/>
        <w:adjustRightInd w:val="0"/>
        <w:snapToGrid w:val="0"/>
        <w:spacing w:line="360" w:lineRule="auto"/>
        <w:ind w:firstLine="720"/>
        <w:jc w:val="left"/>
        <w:textAlignment w:val="baseline"/>
        <w:rPr>
          <w:rFonts w:ascii="宋体" w:hAnsi="宋体" w:eastAsia="宋体" w:cs="Times New Roman"/>
          <w:kern w:val="0"/>
          <w:sz w:val="24"/>
          <w:szCs w:val="24"/>
        </w:rPr>
      </w:pP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招标代理机构：辽宁仁合项目管理有限公司</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地    址：沈阳市和平区丽岛路46-1号</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邮政编码：110006</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联 系 人：谭宏伟、李阳</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联系电话：024-83733449-87/13591699877</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开 户 行：中国建设银行股份有限公司沈阳融汇支行</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账户名称：辽宁仁合工程招标代理有限公司</w:t>
      </w:r>
    </w:p>
    <w:p>
      <w:pPr>
        <w:widowControl/>
        <w:kinsoku w:val="0"/>
        <w:autoSpaceDE w:val="0"/>
        <w:autoSpaceDN w:val="0"/>
        <w:adjustRightInd w:val="0"/>
        <w:snapToGrid w:val="0"/>
        <w:spacing w:line="360" w:lineRule="auto"/>
        <w:ind w:firstLine="717"/>
        <w:jc w:val="left"/>
        <w:textAlignment w:val="baseline"/>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帐    号：210013 700080 5251 8656</w:t>
      </w:r>
    </w:p>
    <w:p>
      <w:pPr>
        <w:ind w:firstLine="714" w:firstLineChars="300"/>
        <w:rPr>
          <w:rFonts w:ascii="宋体" w:hAnsi="宋体" w:eastAsia="宋体" w:cs="Times New Roman"/>
          <w:spacing w:val="-1"/>
          <w:kern w:val="0"/>
          <w:position w:val="14"/>
          <w:sz w:val="24"/>
          <w:szCs w:val="24"/>
        </w:rPr>
      </w:pPr>
      <w:r>
        <w:rPr>
          <w:rFonts w:hint="eastAsia" w:ascii="宋体" w:hAnsi="宋体" w:eastAsia="宋体" w:cs="Times New Roman"/>
          <w:spacing w:val="-1"/>
          <w:kern w:val="0"/>
          <w:position w:val="14"/>
          <w:sz w:val="24"/>
          <w:szCs w:val="24"/>
        </w:rPr>
        <w:t>代理邮箱：</w:t>
      </w:r>
      <w:r>
        <w:fldChar w:fldCharType="begin"/>
      </w:r>
      <w:r>
        <w:instrText xml:space="preserve"> HYPERLINK "mailto:49036254@qq.com" </w:instrText>
      </w:r>
      <w:r>
        <w:fldChar w:fldCharType="separate"/>
      </w:r>
      <w:r>
        <w:rPr>
          <w:rFonts w:hint="eastAsia" w:ascii="宋体" w:hAnsi="宋体" w:eastAsia="宋体" w:cs="Times New Roman"/>
          <w:spacing w:val="-1"/>
          <w:kern w:val="0"/>
          <w:position w:val="14"/>
          <w:sz w:val="24"/>
          <w:szCs w:val="24"/>
        </w:rPr>
        <w:t>871134639@qq.com</w:t>
      </w:r>
      <w:r>
        <w:rPr>
          <w:rFonts w:hint="eastAsia" w:ascii="宋体" w:hAnsi="宋体" w:eastAsia="宋体" w:cs="Times New Roman"/>
          <w:spacing w:val="-1"/>
          <w:kern w:val="0"/>
          <w:position w:val="14"/>
          <w:sz w:val="24"/>
          <w:szCs w:val="24"/>
        </w:rPr>
        <w:fldChar w:fldCharType="end"/>
      </w:r>
      <w:bookmarkEnd w:id="25"/>
    </w:p>
    <w:p>
      <w:pPr>
        <w:ind w:firstLine="714" w:firstLineChars="300"/>
        <w:rPr>
          <w:rFonts w:ascii="宋体" w:hAnsi="宋体" w:eastAsia="宋体" w:cs="Times New Roman"/>
          <w:spacing w:val="-1"/>
          <w:kern w:val="0"/>
          <w:position w:val="14"/>
          <w:sz w:val="24"/>
          <w:szCs w:val="24"/>
        </w:rPr>
      </w:pPr>
    </w:p>
    <w:p>
      <w:pPr>
        <w:ind w:firstLine="714" w:firstLineChars="300"/>
        <w:rPr>
          <w:rFonts w:ascii="宋体" w:hAnsi="宋体" w:eastAsia="宋体" w:cs="Times New Roman"/>
          <w:spacing w:val="-1"/>
          <w:kern w:val="0"/>
          <w:position w:val="14"/>
          <w:sz w:val="24"/>
          <w:szCs w:val="24"/>
        </w:rPr>
      </w:pPr>
    </w:p>
    <w:p>
      <w:pPr>
        <w:ind w:firstLine="714" w:firstLineChars="300"/>
        <w:rPr>
          <w:rFonts w:ascii="宋体" w:hAnsi="宋体" w:eastAsia="宋体" w:cs="Times New Roman"/>
          <w:spacing w:val="-1"/>
          <w:kern w:val="0"/>
          <w:position w:val="14"/>
          <w:sz w:val="24"/>
          <w:szCs w:val="24"/>
        </w:rPr>
      </w:pPr>
    </w:p>
    <w:p>
      <w:pPr>
        <w:ind w:firstLine="714" w:firstLineChars="300"/>
        <w:rPr>
          <w:rFonts w:ascii="宋体" w:hAnsi="宋体" w:eastAsia="宋体" w:cs="Times New Roman"/>
          <w:spacing w:val="-1"/>
          <w:kern w:val="0"/>
          <w:position w:val="14"/>
          <w:sz w:val="24"/>
          <w:szCs w:val="24"/>
        </w:rPr>
      </w:pPr>
    </w:p>
    <w:p>
      <w:pPr>
        <w:ind w:firstLine="714" w:firstLineChars="300"/>
        <w:rPr>
          <w:rFonts w:ascii="宋体" w:hAnsi="宋体" w:eastAsia="宋体" w:cs="Times New Roman"/>
          <w:spacing w:val="-1"/>
          <w:kern w:val="0"/>
          <w:position w:val="14"/>
          <w:sz w:val="24"/>
          <w:szCs w:val="24"/>
        </w:rPr>
      </w:pPr>
    </w:p>
    <w:p>
      <w:pPr>
        <w:ind w:firstLine="714" w:firstLineChars="300"/>
        <w:jc w:val="right"/>
      </w:pPr>
      <w:r>
        <w:rPr>
          <w:rFonts w:hint="eastAsia" w:ascii="宋体" w:hAnsi="宋体" w:eastAsia="宋体" w:cs="Times New Roman"/>
          <w:spacing w:val="-1"/>
          <w:kern w:val="0"/>
          <w:position w:val="14"/>
          <w:sz w:val="24"/>
          <w:szCs w:val="24"/>
        </w:rPr>
        <w:t>2024年01月15日</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0" w:usb3="00000000" w:csb0="00000001" w:csb1="00000000"/>
  </w:font>
  <w:font w:name="Arial">
    <w:altName w:val="Nimbus Roman No9 L"/>
    <w:panose1 w:val="020B0604020202020204"/>
    <w:charset w:val="00"/>
    <w:family w:val="swiss"/>
    <w:pitch w:val="default"/>
    <w:sig w:usb0="00000000" w:usb1="00000000" w:usb2="00000009" w:usb3="00000000" w:csb0="000001FF" w:csb1="00000000"/>
  </w:font>
  <w:font w:name="Cambria">
    <w:altName w:val="FreeSerif"/>
    <w:panose1 w:val="02040503050406030204"/>
    <w:charset w:val="00"/>
    <w:family w:val="roman"/>
    <w:pitch w:val="default"/>
    <w:sig w:usb0="00000000" w:usb1="00000000" w:usb2="02000000" w:usb3="00000000" w:csb0="0000019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F60F8B"/>
    <w:multiLevelType w:val="multilevel"/>
    <w:tmpl w:val="30F60F8B"/>
    <w:lvl w:ilvl="0" w:tentative="0">
      <w:start w:val="1"/>
      <w:numFmt w:val="decimal"/>
      <w:lvlText w:val="（%1）"/>
      <w:lvlJc w:val="left"/>
      <w:pPr>
        <w:ind w:left="238" w:hanging="605"/>
      </w:pPr>
      <w:rPr>
        <w:rFonts w:hint="default" w:ascii="宋体" w:hAnsi="宋体" w:eastAsia="宋体" w:cs="宋体"/>
        <w:spacing w:val="0"/>
        <w:w w:val="100"/>
        <w:sz w:val="22"/>
        <w:szCs w:val="22"/>
      </w:rPr>
    </w:lvl>
    <w:lvl w:ilvl="1" w:tentative="0">
      <w:start w:val="0"/>
      <w:numFmt w:val="bullet"/>
      <w:lvlText w:val="•"/>
      <w:lvlJc w:val="left"/>
      <w:pPr>
        <w:ind w:left="1182" w:hanging="605"/>
      </w:pPr>
      <w:rPr>
        <w:rFonts w:hint="default"/>
      </w:rPr>
    </w:lvl>
    <w:lvl w:ilvl="2" w:tentative="0">
      <w:start w:val="0"/>
      <w:numFmt w:val="bullet"/>
      <w:lvlText w:val="•"/>
      <w:lvlJc w:val="left"/>
      <w:pPr>
        <w:ind w:left="2125" w:hanging="605"/>
      </w:pPr>
      <w:rPr>
        <w:rFonts w:hint="default"/>
      </w:rPr>
    </w:lvl>
    <w:lvl w:ilvl="3" w:tentative="0">
      <w:start w:val="0"/>
      <w:numFmt w:val="bullet"/>
      <w:lvlText w:val="•"/>
      <w:lvlJc w:val="left"/>
      <w:pPr>
        <w:ind w:left="3068" w:hanging="605"/>
      </w:pPr>
      <w:rPr>
        <w:rFonts w:hint="default"/>
      </w:rPr>
    </w:lvl>
    <w:lvl w:ilvl="4" w:tentative="0">
      <w:start w:val="0"/>
      <w:numFmt w:val="bullet"/>
      <w:lvlText w:val="•"/>
      <w:lvlJc w:val="left"/>
      <w:pPr>
        <w:ind w:left="4010" w:hanging="605"/>
      </w:pPr>
      <w:rPr>
        <w:rFonts w:hint="default"/>
      </w:rPr>
    </w:lvl>
    <w:lvl w:ilvl="5" w:tentative="0">
      <w:start w:val="0"/>
      <w:numFmt w:val="bullet"/>
      <w:lvlText w:val="•"/>
      <w:lvlJc w:val="left"/>
      <w:pPr>
        <w:ind w:left="4953" w:hanging="605"/>
      </w:pPr>
      <w:rPr>
        <w:rFonts w:hint="default"/>
      </w:rPr>
    </w:lvl>
    <w:lvl w:ilvl="6" w:tentative="0">
      <w:start w:val="0"/>
      <w:numFmt w:val="bullet"/>
      <w:lvlText w:val="•"/>
      <w:lvlJc w:val="left"/>
      <w:pPr>
        <w:ind w:left="5896" w:hanging="605"/>
      </w:pPr>
      <w:rPr>
        <w:rFonts w:hint="default"/>
      </w:rPr>
    </w:lvl>
    <w:lvl w:ilvl="7" w:tentative="0">
      <w:start w:val="0"/>
      <w:numFmt w:val="bullet"/>
      <w:lvlText w:val="•"/>
      <w:lvlJc w:val="left"/>
      <w:pPr>
        <w:ind w:left="6838" w:hanging="605"/>
      </w:pPr>
      <w:rPr>
        <w:rFonts w:hint="default"/>
      </w:rPr>
    </w:lvl>
    <w:lvl w:ilvl="8" w:tentative="0">
      <w:start w:val="0"/>
      <w:numFmt w:val="bullet"/>
      <w:lvlText w:val="•"/>
      <w:lvlJc w:val="left"/>
      <w:pPr>
        <w:ind w:left="7781" w:hanging="605"/>
      </w:pPr>
      <w:rPr>
        <w:rFonts w:hint="default"/>
      </w:rPr>
    </w:lvl>
  </w:abstractNum>
  <w:abstractNum w:abstractNumId="1">
    <w:nsid w:val="3E923952"/>
    <w:multiLevelType w:val="multilevel"/>
    <w:tmpl w:val="3E923952"/>
    <w:lvl w:ilvl="0" w:tentative="0">
      <w:start w:val="1"/>
      <w:numFmt w:val="decimal"/>
      <w:lvlText w:val="%1."/>
      <w:lvlJc w:val="left"/>
      <w:pPr>
        <w:ind w:left="588" w:hanging="351"/>
      </w:pPr>
      <w:rPr>
        <w:rFonts w:hint="default" w:ascii="Times New Roman" w:hAnsi="Times New Roman" w:eastAsia="Times New Roman" w:cs="Times New Roman"/>
        <w:spacing w:val="0"/>
        <w:w w:val="100"/>
        <w:sz w:val="28"/>
        <w:szCs w:val="28"/>
      </w:rPr>
    </w:lvl>
    <w:lvl w:ilvl="1" w:tentative="0">
      <w:start w:val="1"/>
      <w:numFmt w:val="decimal"/>
      <w:lvlText w:val="%1.%2"/>
      <w:lvlJc w:val="left"/>
      <w:pPr>
        <w:ind w:left="1413" w:hanging="420"/>
      </w:pPr>
      <w:rPr>
        <w:rFonts w:hint="default" w:ascii="Times New Roman" w:hAnsi="Times New Roman" w:eastAsia="Times New Roman" w:cs="Times New Roman"/>
        <w:w w:val="100"/>
        <w:sz w:val="24"/>
        <w:szCs w:val="24"/>
      </w:rPr>
    </w:lvl>
    <w:lvl w:ilvl="2" w:tentative="0">
      <w:start w:val="0"/>
      <w:numFmt w:val="bullet"/>
      <w:lvlText w:val="•"/>
      <w:lvlJc w:val="left"/>
      <w:pPr>
        <w:ind w:left="1120" w:hanging="420"/>
      </w:pPr>
      <w:rPr>
        <w:rFonts w:hint="default"/>
      </w:rPr>
    </w:lvl>
    <w:lvl w:ilvl="3" w:tentative="0">
      <w:start w:val="0"/>
      <w:numFmt w:val="bullet"/>
      <w:lvlText w:val="•"/>
      <w:lvlJc w:val="left"/>
      <w:pPr>
        <w:ind w:left="1140" w:hanging="420"/>
      </w:pPr>
      <w:rPr>
        <w:rFonts w:hint="default"/>
      </w:rPr>
    </w:lvl>
    <w:lvl w:ilvl="4" w:tentative="0">
      <w:start w:val="0"/>
      <w:numFmt w:val="bullet"/>
      <w:lvlText w:val="•"/>
      <w:lvlJc w:val="left"/>
      <w:pPr>
        <w:ind w:left="2358" w:hanging="420"/>
      </w:pPr>
      <w:rPr>
        <w:rFonts w:hint="default"/>
      </w:rPr>
    </w:lvl>
    <w:lvl w:ilvl="5" w:tentative="0">
      <w:start w:val="0"/>
      <w:numFmt w:val="bullet"/>
      <w:lvlText w:val="•"/>
      <w:lvlJc w:val="left"/>
      <w:pPr>
        <w:ind w:left="3576" w:hanging="420"/>
      </w:pPr>
      <w:rPr>
        <w:rFonts w:hint="default"/>
      </w:rPr>
    </w:lvl>
    <w:lvl w:ilvl="6" w:tentative="0">
      <w:start w:val="0"/>
      <w:numFmt w:val="bullet"/>
      <w:lvlText w:val="•"/>
      <w:lvlJc w:val="left"/>
      <w:pPr>
        <w:ind w:left="4794" w:hanging="420"/>
      </w:pPr>
      <w:rPr>
        <w:rFonts w:hint="default"/>
      </w:rPr>
    </w:lvl>
    <w:lvl w:ilvl="7" w:tentative="0">
      <w:start w:val="0"/>
      <w:numFmt w:val="bullet"/>
      <w:lvlText w:val="•"/>
      <w:lvlJc w:val="left"/>
      <w:pPr>
        <w:ind w:left="6012" w:hanging="420"/>
      </w:pPr>
      <w:rPr>
        <w:rFonts w:hint="default"/>
      </w:rPr>
    </w:lvl>
    <w:lvl w:ilvl="8" w:tentative="0">
      <w:start w:val="0"/>
      <w:numFmt w:val="bullet"/>
      <w:lvlText w:val="•"/>
      <w:lvlJc w:val="left"/>
      <w:pPr>
        <w:ind w:left="7230" w:hanging="4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188"/>
    <w:rsid w:val="000043F6"/>
    <w:rsid w:val="00010DEF"/>
    <w:rsid w:val="000165C4"/>
    <w:rsid w:val="00016C66"/>
    <w:rsid w:val="00017DC7"/>
    <w:rsid w:val="00021852"/>
    <w:rsid w:val="000272B0"/>
    <w:rsid w:val="00033B77"/>
    <w:rsid w:val="00033BB6"/>
    <w:rsid w:val="00041497"/>
    <w:rsid w:val="00054DB9"/>
    <w:rsid w:val="000615F1"/>
    <w:rsid w:val="00062187"/>
    <w:rsid w:val="0006514A"/>
    <w:rsid w:val="000671B6"/>
    <w:rsid w:val="00072E3E"/>
    <w:rsid w:val="00075245"/>
    <w:rsid w:val="00076951"/>
    <w:rsid w:val="00080ECE"/>
    <w:rsid w:val="00081F7F"/>
    <w:rsid w:val="000847E6"/>
    <w:rsid w:val="000A3F5E"/>
    <w:rsid w:val="000B3611"/>
    <w:rsid w:val="000B4FEC"/>
    <w:rsid w:val="000C1184"/>
    <w:rsid w:val="000C6E7A"/>
    <w:rsid w:val="000D4448"/>
    <w:rsid w:val="000E43A2"/>
    <w:rsid w:val="000F019C"/>
    <w:rsid w:val="001027E0"/>
    <w:rsid w:val="00114755"/>
    <w:rsid w:val="00114B58"/>
    <w:rsid w:val="0012075D"/>
    <w:rsid w:val="001441A6"/>
    <w:rsid w:val="001458E4"/>
    <w:rsid w:val="0016487D"/>
    <w:rsid w:val="00165C2E"/>
    <w:rsid w:val="001666BC"/>
    <w:rsid w:val="00181D6D"/>
    <w:rsid w:val="001906F6"/>
    <w:rsid w:val="00190788"/>
    <w:rsid w:val="001A2E21"/>
    <w:rsid w:val="001B3074"/>
    <w:rsid w:val="001C044A"/>
    <w:rsid w:val="001C2CBE"/>
    <w:rsid w:val="001C5645"/>
    <w:rsid w:val="001C6F36"/>
    <w:rsid w:val="001E3F31"/>
    <w:rsid w:val="001E65BC"/>
    <w:rsid w:val="001F307F"/>
    <w:rsid w:val="001F504F"/>
    <w:rsid w:val="00205829"/>
    <w:rsid w:val="002206FC"/>
    <w:rsid w:val="00244C67"/>
    <w:rsid w:val="0025550B"/>
    <w:rsid w:val="00257B8A"/>
    <w:rsid w:val="00261AD8"/>
    <w:rsid w:val="002662FA"/>
    <w:rsid w:val="00277586"/>
    <w:rsid w:val="00281D52"/>
    <w:rsid w:val="002901BB"/>
    <w:rsid w:val="00291D7F"/>
    <w:rsid w:val="00294D57"/>
    <w:rsid w:val="0029527F"/>
    <w:rsid w:val="00295B5F"/>
    <w:rsid w:val="002A087D"/>
    <w:rsid w:val="002A37AF"/>
    <w:rsid w:val="002A4E35"/>
    <w:rsid w:val="002B2622"/>
    <w:rsid w:val="002B2C89"/>
    <w:rsid w:val="002B3933"/>
    <w:rsid w:val="002C7F1C"/>
    <w:rsid w:val="002D1939"/>
    <w:rsid w:val="002F0129"/>
    <w:rsid w:val="002F5D0F"/>
    <w:rsid w:val="002F7CB8"/>
    <w:rsid w:val="00311476"/>
    <w:rsid w:val="00313077"/>
    <w:rsid w:val="00314985"/>
    <w:rsid w:val="00320EF0"/>
    <w:rsid w:val="00326AD0"/>
    <w:rsid w:val="00334749"/>
    <w:rsid w:val="003354DF"/>
    <w:rsid w:val="00335D92"/>
    <w:rsid w:val="0033724D"/>
    <w:rsid w:val="00344DBF"/>
    <w:rsid w:val="003456C6"/>
    <w:rsid w:val="00346759"/>
    <w:rsid w:val="003571D2"/>
    <w:rsid w:val="00362D26"/>
    <w:rsid w:val="003811C5"/>
    <w:rsid w:val="00385C8B"/>
    <w:rsid w:val="00386E05"/>
    <w:rsid w:val="003A5186"/>
    <w:rsid w:val="003A5DA9"/>
    <w:rsid w:val="003B7C5F"/>
    <w:rsid w:val="003C239D"/>
    <w:rsid w:val="003C5010"/>
    <w:rsid w:val="003C668A"/>
    <w:rsid w:val="003D2740"/>
    <w:rsid w:val="003E6A16"/>
    <w:rsid w:val="003E707F"/>
    <w:rsid w:val="003F4823"/>
    <w:rsid w:val="00406B15"/>
    <w:rsid w:val="00430D51"/>
    <w:rsid w:val="00446B8D"/>
    <w:rsid w:val="00455969"/>
    <w:rsid w:val="004625FF"/>
    <w:rsid w:val="0048751A"/>
    <w:rsid w:val="00487545"/>
    <w:rsid w:val="00496129"/>
    <w:rsid w:val="004A5F96"/>
    <w:rsid w:val="004C5EAD"/>
    <w:rsid w:val="004C74BC"/>
    <w:rsid w:val="004D2939"/>
    <w:rsid w:val="004D6B27"/>
    <w:rsid w:val="004E18DF"/>
    <w:rsid w:val="004E1CDE"/>
    <w:rsid w:val="00500E7C"/>
    <w:rsid w:val="00501190"/>
    <w:rsid w:val="00504DEE"/>
    <w:rsid w:val="005134F8"/>
    <w:rsid w:val="00520E78"/>
    <w:rsid w:val="00527B9D"/>
    <w:rsid w:val="00533872"/>
    <w:rsid w:val="005405FB"/>
    <w:rsid w:val="005468DA"/>
    <w:rsid w:val="00553BD3"/>
    <w:rsid w:val="005621AD"/>
    <w:rsid w:val="00562487"/>
    <w:rsid w:val="00567F33"/>
    <w:rsid w:val="0057665F"/>
    <w:rsid w:val="005769AE"/>
    <w:rsid w:val="005835E6"/>
    <w:rsid w:val="00584EF9"/>
    <w:rsid w:val="005B68B7"/>
    <w:rsid w:val="005B7061"/>
    <w:rsid w:val="005C10CB"/>
    <w:rsid w:val="005C5F2A"/>
    <w:rsid w:val="005E498B"/>
    <w:rsid w:val="006016CF"/>
    <w:rsid w:val="0060342C"/>
    <w:rsid w:val="00611481"/>
    <w:rsid w:val="00622946"/>
    <w:rsid w:val="0063064C"/>
    <w:rsid w:val="00660783"/>
    <w:rsid w:val="00674BB3"/>
    <w:rsid w:val="00675DEB"/>
    <w:rsid w:val="00677B95"/>
    <w:rsid w:val="006846D5"/>
    <w:rsid w:val="006B1CDA"/>
    <w:rsid w:val="006B1E36"/>
    <w:rsid w:val="006C4135"/>
    <w:rsid w:val="006E6623"/>
    <w:rsid w:val="006E7622"/>
    <w:rsid w:val="006F27EB"/>
    <w:rsid w:val="00705D86"/>
    <w:rsid w:val="00715886"/>
    <w:rsid w:val="00716257"/>
    <w:rsid w:val="00722DEC"/>
    <w:rsid w:val="00737286"/>
    <w:rsid w:val="00745618"/>
    <w:rsid w:val="00767495"/>
    <w:rsid w:val="007708B4"/>
    <w:rsid w:val="00774F18"/>
    <w:rsid w:val="00784520"/>
    <w:rsid w:val="00792D49"/>
    <w:rsid w:val="007950FF"/>
    <w:rsid w:val="00797CFE"/>
    <w:rsid w:val="007D12F7"/>
    <w:rsid w:val="007E5292"/>
    <w:rsid w:val="007F33FF"/>
    <w:rsid w:val="007F3AA1"/>
    <w:rsid w:val="007F4051"/>
    <w:rsid w:val="00831BFD"/>
    <w:rsid w:val="0083455D"/>
    <w:rsid w:val="0083699C"/>
    <w:rsid w:val="00846508"/>
    <w:rsid w:val="00847FC6"/>
    <w:rsid w:val="00857A3C"/>
    <w:rsid w:val="0086447B"/>
    <w:rsid w:val="00865AFF"/>
    <w:rsid w:val="00874FDC"/>
    <w:rsid w:val="008803AD"/>
    <w:rsid w:val="00887829"/>
    <w:rsid w:val="00890B57"/>
    <w:rsid w:val="008955FC"/>
    <w:rsid w:val="00897366"/>
    <w:rsid w:val="008A7FC6"/>
    <w:rsid w:val="008B5FA2"/>
    <w:rsid w:val="008C2AFB"/>
    <w:rsid w:val="008D1259"/>
    <w:rsid w:val="008D1AA3"/>
    <w:rsid w:val="008D1B0F"/>
    <w:rsid w:val="008E4053"/>
    <w:rsid w:val="008E7D1E"/>
    <w:rsid w:val="008F12E8"/>
    <w:rsid w:val="008F4D98"/>
    <w:rsid w:val="008F6A37"/>
    <w:rsid w:val="008F6EE7"/>
    <w:rsid w:val="008F734E"/>
    <w:rsid w:val="00910DDE"/>
    <w:rsid w:val="009160E9"/>
    <w:rsid w:val="00920CB3"/>
    <w:rsid w:val="00922D79"/>
    <w:rsid w:val="0094036D"/>
    <w:rsid w:val="00941E4D"/>
    <w:rsid w:val="00950090"/>
    <w:rsid w:val="009623CA"/>
    <w:rsid w:val="00966621"/>
    <w:rsid w:val="009738B2"/>
    <w:rsid w:val="009A0BE6"/>
    <w:rsid w:val="009B0CB6"/>
    <w:rsid w:val="009B355C"/>
    <w:rsid w:val="009C76B6"/>
    <w:rsid w:val="009D0B78"/>
    <w:rsid w:val="009D6987"/>
    <w:rsid w:val="009E1BD0"/>
    <w:rsid w:val="009E5BCD"/>
    <w:rsid w:val="00A0576F"/>
    <w:rsid w:val="00A12AA3"/>
    <w:rsid w:val="00A12ED6"/>
    <w:rsid w:val="00A344B0"/>
    <w:rsid w:val="00A6147F"/>
    <w:rsid w:val="00A67C2A"/>
    <w:rsid w:val="00A73230"/>
    <w:rsid w:val="00A7546D"/>
    <w:rsid w:val="00A779FD"/>
    <w:rsid w:val="00A85F94"/>
    <w:rsid w:val="00A95171"/>
    <w:rsid w:val="00A95934"/>
    <w:rsid w:val="00AA05FB"/>
    <w:rsid w:val="00AA3723"/>
    <w:rsid w:val="00AB4C48"/>
    <w:rsid w:val="00AB63FF"/>
    <w:rsid w:val="00AC1188"/>
    <w:rsid w:val="00AC5B66"/>
    <w:rsid w:val="00AD2E53"/>
    <w:rsid w:val="00AE2B9D"/>
    <w:rsid w:val="00AE6C81"/>
    <w:rsid w:val="00AF0EE8"/>
    <w:rsid w:val="00B00988"/>
    <w:rsid w:val="00B00CEC"/>
    <w:rsid w:val="00B036BD"/>
    <w:rsid w:val="00B0689D"/>
    <w:rsid w:val="00B127E1"/>
    <w:rsid w:val="00B130D1"/>
    <w:rsid w:val="00B17F37"/>
    <w:rsid w:val="00B22C73"/>
    <w:rsid w:val="00B309C5"/>
    <w:rsid w:val="00B30B66"/>
    <w:rsid w:val="00B31F67"/>
    <w:rsid w:val="00B3211C"/>
    <w:rsid w:val="00B322B2"/>
    <w:rsid w:val="00B33450"/>
    <w:rsid w:val="00B4148C"/>
    <w:rsid w:val="00B42484"/>
    <w:rsid w:val="00B7032A"/>
    <w:rsid w:val="00B77B6B"/>
    <w:rsid w:val="00B77B8C"/>
    <w:rsid w:val="00B846EB"/>
    <w:rsid w:val="00B91022"/>
    <w:rsid w:val="00B93170"/>
    <w:rsid w:val="00BA0A4D"/>
    <w:rsid w:val="00BA115E"/>
    <w:rsid w:val="00BA7E0F"/>
    <w:rsid w:val="00BB1C66"/>
    <w:rsid w:val="00BC1F1F"/>
    <w:rsid w:val="00BD1C97"/>
    <w:rsid w:val="00BD4FE3"/>
    <w:rsid w:val="00BE0891"/>
    <w:rsid w:val="00BE3CDB"/>
    <w:rsid w:val="00BE3F18"/>
    <w:rsid w:val="00BE45BA"/>
    <w:rsid w:val="00BE63F5"/>
    <w:rsid w:val="00BF2464"/>
    <w:rsid w:val="00BF2B4E"/>
    <w:rsid w:val="00BF3358"/>
    <w:rsid w:val="00C01BFC"/>
    <w:rsid w:val="00C0571C"/>
    <w:rsid w:val="00C0601F"/>
    <w:rsid w:val="00C3168C"/>
    <w:rsid w:val="00C363C3"/>
    <w:rsid w:val="00C4720C"/>
    <w:rsid w:val="00C50F8D"/>
    <w:rsid w:val="00C60ADE"/>
    <w:rsid w:val="00C635AC"/>
    <w:rsid w:val="00C82767"/>
    <w:rsid w:val="00C83ADC"/>
    <w:rsid w:val="00C85752"/>
    <w:rsid w:val="00C964A4"/>
    <w:rsid w:val="00CC08E8"/>
    <w:rsid w:val="00CE17D5"/>
    <w:rsid w:val="00CF0B18"/>
    <w:rsid w:val="00CF7B56"/>
    <w:rsid w:val="00D02B91"/>
    <w:rsid w:val="00D06E42"/>
    <w:rsid w:val="00D13855"/>
    <w:rsid w:val="00D23683"/>
    <w:rsid w:val="00D23902"/>
    <w:rsid w:val="00D24D64"/>
    <w:rsid w:val="00D279E7"/>
    <w:rsid w:val="00D34C4C"/>
    <w:rsid w:val="00D35D22"/>
    <w:rsid w:val="00D503A9"/>
    <w:rsid w:val="00D712B5"/>
    <w:rsid w:val="00D861DA"/>
    <w:rsid w:val="00D90677"/>
    <w:rsid w:val="00D9506D"/>
    <w:rsid w:val="00D969F3"/>
    <w:rsid w:val="00DA28E1"/>
    <w:rsid w:val="00DA2CA2"/>
    <w:rsid w:val="00DA6390"/>
    <w:rsid w:val="00DA73BF"/>
    <w:rsid w:val="00DC54DD"/>
    <w:rsid w:val="00DC71B0"/>
    <w:rsid w:val="00E01F2C"/>
    <w:rsid w:val="00E02D19"/>
    <w:rsid w:val="00E04440"/>
    <w:rsid w:val="00E047C5"/>
    <w:rsid w:val="00E11313"/>
    <w:rsid w:val="00E17FE6"/>
    <w:rsid w:val="00E213B4"/>
    <w:rsid w:val="00E258CC"/>
    <w:rsid w:val="00E37913"/>
    <w:rsid w:val="00E44C53"/>
    <w:rsid w:val="00E521D7"/>
    <w:rsid w:val="00E57588"/>
    <w:rsid w:val="00E57700"/>
    <w:rsid w:val="00E6134F"/>
    <w:rsid w:val="00E61590"/>
    <w:rsid w:val="00E659C6"/>
    <w:rsid w:val="00E86414"/>
    <w:rsid w:val="00EA5096"/>
    <w:rsid w:val="00EA6AB9"/>
    <w:rsid w:val="00EA764B"/>
    <w:rsid w:val="00EB67AB"/>
    <w:rsid w:val="00ED6C3D"/>
    <w:rsid w:val="00EE3284"/>
    <w:rsid w:val="00EE6017"/>
    <w:rsid w:val="00EF08A0"/>
    <w:rsid w:val="00EF55DA"/>
    <w:rsid w:val="00F00992"/>
    <w:rsid w:val="00F04AA6"/>
    <w:rsid w:val="00F15AF3"/>
    <w:rsid w:val="00F32850"/>
    <w:rsid w:val="00F40CB9"/>
    <w:rsid w:val="00F45635"/>
    <w:rsid w:val="00F57F1B"/>
    <w:rsid w:val="00F678DC"/>
    <w:rsid w:val="00F73214"/>
    <w:rsid w:val="00F81CDC"/>
    <w:rsid w:val="00F87679"/>
    <w:rsid w:val="00F96114"/>
    <w:rsid w:val="00FA2EE3"/>
    <w:rsid w:val="00FB10D0"/>
    <w:rsid w:val="00FB373F"/>
    <w:rsid w:val="00FD1CAF"/>
    <w:rsid w:val="00FD7402"/>
    <w:rsid w:val="00FE79FC"/>
    <w:rsid w:val="00FF0316"/>
    <w:rsid w:val="00FF527C"/>
    <w:rsid w:val="00FF5C05"/>
    <w:rsid w:val="6FBFE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nhideWhenUsed="0" w:uiPriority="0"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1"/>
    <w:qFormat/>
    <w:uiPriority w:val="0"/>
    <w:pPr>
      <w:autoSpaceDE w:val="0"/>
      <w:autoSpaceDN w:val="0"/>
      <w:spacing w:before="21"/>
      <w:ind w:left="692"/>
      <w:jc w:val="left"/>
      <w:outlineLvl w:val="0"/>
    </w:pPr>
    <w:rPr>
      <w:rFonts w:ascii="黑体" w:hAnsi="黑体" w:eastAsia="黑体" w:cs="黑体"/>
      <w:kern w:val="0"/>
      <w:sz w:val="56"/>
      <w:szCs w:val="56"/>
      <w:lang w:eastAsia="en-US"/>
    </w:rPr>
  </w:style>
  <w:style w:type="paragraph" w:styleId="3">
    <w:name w:val="heading 2"/>
    <w:basedOn w:val="1"/>
    <w:next w:val="1"/>
    <w:link w:val="32"/>
    <w:qFormat/>
    <w:uiPriority w:val="1"/>
    <w:pPr>
      <w:autoSpaceDE w:val="0"/>
      <w:autoSpaceDN w:val="0"/>
      <w:spacing w:before="48"/>
      <w:ind w:left="392" w:right="514"/>
      <w:jc w:val="center"/>
      <w:outlineLvl w:val="1"/>
    </w:pPr>
    <w:rPr>
      <w:rFonts w:ascii="黑体" w:hAnsi="黑体" w:eastAsia="黑体" w:cs="黑体"/>
      <w:kern w:val="0"/>
      <w:sz w:val="48"/>
      <w:szCs w:val="48"/>
      <w:lang w:eastAsia="en-US"/>
    </w:rPr>
  </w:style>
  <w:style w:type="paragraph" w:styleId="4">
    <w:name w:val="heading 3"/>
    <w:basedOn w:val="1"/>
    <w:next w:val="1"/>
    <w:link w:val="33"/>
    <w:qFormat/>
    <w:uiPriority w:val="1"/>
    <w:pPr>
      <w:autoSpaceDE w:val="0"/>
      <w:autoSpaceDN w:val="0"/>
      <w:spacing w:before="37"/>
      <w:ind w:left="1472"/>
      <w:jc w:val="left"/>
      <w:outlineLvl w:val="2"/>
    </w:pPr>
    <w:rPr>
      <w:rFonts w:ascii="黑体" w:hAnsi="黑体" w:eastAsia="黑体" w:cs="黑体"/>
      <w:kern w:val="0"/>
      <w:sz w:val="44"/>
      <w:szCs w:val="44"/>
      <w:lang w:eastAsia="en-US"/>
    </w:rPr>
  </w:style>
  <w:style w:type="paragraph" w:styleId="5">
    <w:name w:val="heading 4"/>
    <w:basedOn w:val="1"/>
    <w:next w:val="1"/>
    <w:link w:val="34"/>
    <w:qFormat/>
    <w:uiPriority w:val="0"/>
    <w:pPr>
      <w:autoSpaceDE w:val="0"/>
      <w:autoSpaceDN w:val="0"/>
      <w:ind w:left="636" w:hanging="398"/>
      <w:jc w:val="left"/>
      <w:outlineLvl w:val="3"/>
    </w:pPr>
    <w:rPr>
      <w:rFonts w:ascii="黑体" w:hAnsi="黑体" w:eastAsia="黑体" w:cs="黑体"/>
      <w:kern w:val="0"/>
      <w:sz w:val="32"/>
      <w:szCs w:val="32"/>
      <w:lang w:eastAsia="en-US"/>
    </w:rPr>
  </w:style>
  <w:style w:type="paragraph" w:styleId="6">
    <w:name w:val="heading 5"/>
    <w:basedOn w:val="1"/>
    <w:next w:val="1"/>
    <w:link w:val="35"/>
    <w:qFormat/>
    <w:uiPriority w:val="1"/>
    <w:pPr>
      <w:autoSpaceDE w:val="0"/>
      <w:autoSpaceDN w:val="0"/>
      <w:spacing w:before="58"/>
      <w:ind w:left="695" w:right="813"/>
      <w:jc w:val="center"/>
      <w:outlineLvl w:val="4"/>
    </w:pPr>
    <w:rPr>
      <w:rFonts w:ascii="黑体" w:hAnsi="黑体" w:eastAsia="黑体" w:cs="黑体"/>
      <w:kern w:val="0"/>
      <w:sz w:val="30"/>
      <w:szCs w:val="30"/>
      <w:lang w:eastAsia="en-US"/>
    </w:rPr>
  </w:style>
  <w:style w:type="paragraph" w:styleId="7">
    <w:name w:val="heading 6"/>
    <w:basedOn w:val="1"/>
    <w:next w:val="1"/>
    <w:link w:val="36"/>
    <w:qFormat/>
    <w:uiPriority w:val="1"/>
    <w:pPr>
      <w:autoSpaceDE w:val="0"/>
      <w:autoSpaceDN w:val="0"/>
      <w:ind w:left="588"/>
      <w:jc w:val="left"/>
      <w:outlineLvl w:val="5"/>
    </w:pPr>
    <w:rPr>
      <w:rFonts w:ascii="黑体" w:hAnsi="黑体" w:eastAsia="黑体" w:cs="黑体"/>
      <w:kern w:val="0"/>
      <w:sz w:val="28"/>
      <w:szCs w:val="28"/>
      <w:lang w:eastAsia="en-US"/>
    </w:rPr>
  </w:style>
  <w:style w:type="paragraph" w:styleId="8">
    <w:name w:val="heading 7"/>
    <w:basedOn w:val="1"/>
    <w:next w:val="1"/>
    <w:link w:val="37"/>
    <w:qFormat/>
    <w:uiPriority w:val="1"/>
    <w:pPr>
      <w:autoSpaceDE w:val="0"/>
      <w:autoSpaceDN w:val="0"/>
      <w:ind w:left="1318" w:hanging="600"/>
      <w:jc w:val="left"/>
      <w:outlineLvl w:val="6"/>
    </w:pPr>
    <w:rPr>
      <w:rFonts w:ascii="宋体" w:hAnsi="宋体" w:eastAsia="宋体" w:cs="宋体"/>
      <w:b/>
      <w:bCs/>
      <w:kern w:val="0"/>
      <w:sz w:val="24"/>
      <w:szCs w:val="24"/>
      <w:lang w:eastAsia="en-US"/>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unhideWhenUsed/>
    <w:qFormat/>
    <w:uiPriority w:val="39"/>
    <w:pPr>
      <w:ind w:left="2520" w:leftChars="1200"/>
    </w:pPr>
    <w:rPr>
      <w:rFonts w:ascii="Calibri" w:hAnsi="Calibri" w:eastAsia="宋体" w:cs="Times New Roman"/>
    </w:rPr>
  </w:style>
  <w:style w:type="paragraph" w:styleId="10">
    <w:name w:val="Normal Indent"/>
    <w:basedOn w:val="1"/>
    <w:next w:val="1"/>
    <w:qFormat/>
    <w:uiPriority w:val="0"/>
    <w:pPr>
      <w:widowControl/>
      <w:kinsoku w:val="0"/>
      <w:autoSpaceDE w:val="0"/>
      <w:autoSpaceDN w:val="0"/>
      <w:adjustRightInd w:val="0"/>
      <w:snapToGrid w:val="0"/>
      <w:ind w:firstLine="420" w:firstLineChars="200"/>
      <w:jc w:val="left"/>
      <w:textAlignment w:val="baseline"/>
    </w:pPr>
    <w:rPr>
      <w:rFonts w:ascii="Times New Roman" w:hAnsi="Times New Roman" w:eastAsia="宋体" w:cs="Times New Roman"/>
      <w:color w:val="000000"/>
      <w:kern w:val="0"/>
      <w:szCs w:val="21"/>
      <w:lang w:eastAsia="en-US"/>
    </w:rPr>
  </w:style>
  <w:style w:type="paragraph" w:styleId="11">
    <w:name w:val="annotation text"/>
    <w:basedOn w:val="1"/>
    <w:link w:val="38"/>
    <w:semiHidden/>
    <w:unhideWhenUsed/>
    <w:qFormat/>
    <w:uiPriority w:val="99"/>
    <w:pPr>
      <w:autoSpaceDE w:val="0"/>
      <w:autoSpaceDN w:val="0"/>
      <w:jc w:val="left"/>
    </w:pPr>
    <w:rPr>
      <w:rFonts w:ascii="宋体" w:hAnsi="宋体" w:eastAsia="宋体" w:cs="宋体"/>
      <w:kern w:val="0"/>
      <w:sz w:val="22"/>
      <w:lang w:eastAsia="en-US"/>
    </w:rPr>
  </w:style>
  <w:style w:type="paragraph" w:styleId="12">
    <w:name w:val="Body Text"/>
    <w:basedOn w:val="1"/>
    <w:link w:val="39"/>
    <w:qFormat/>
    <w:uiPriority w:val="99"/>
    <w:pPr>
      <w:autoSpaceDE w:val="0"/>
      <w:autoSpaceDN w:val="0"/>
      <w:jc w:val="left"/>
    </w:pPr>
    <w:rPr>
      <w:rFonts w:ascii="宋体" w:hAnsi="宋体" w:eastAsia="宋体" w:cs="宋体"/>
      <w:kern w:val="0"/>
      <w:sz w:val="24"/>
      <w:szCs w:val="24"/>
      <w:lang w:eastAsia="en-US"/>
    </w:rPr>
  </w:style>
  <w:style w:type="paragraph" w:styleId="13">
    <w:name w:val="toc 5"/>
    <w:basedOn w:val="1"/>
    <w:next w:val="1"/>
    <w:unhideWhenUsed/>
    <w:qFormat/>
    <w:uiPriority w:val="39"/>
    <w:pPr>
      <w:ind w:left="1680" w:leftChars="800"/>
    </w:pPr>
    <w:rPr>
      <w:rFonts w:ascii="Calibri" w:hAnsi="Calibri" w:eastAsia="宋体" w:cs="Times New Roman"/>
    </w:rPr>
  </w:style>
  <w:style w:type="paragraph" w:styleId="14">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rPr>
  </w:style>
  <w:style w:type="paragraph" w:styleId="15">
    <w:name w:val="Plain Text"/>
    <w:basedOn w:val="1"/>
    <w:link w:val="40"/>
    <w:qFormat/>
    <w:uiPriority w:val="0"/>
    <w:pPr>
      <w:widowControl/>
      <w:kinsoku w:val="0"/>
      <w:autoSpaceDE w:val="0"/>
      <w:autoSpaceDN w:val="0"/>
      <w:adjustRightInd w:val="0"/>
      <w:snapToGrid w:val="0"/>
      <w:jc w:val="left"/>
      <w:textAlignment w:val="baseline"/>
    </w:pPr>
    <w:rPr>
      <w:rFonts w:ascii="宋体" w:hAnsi="Courier New" w:eastAsia="宋体" w:cs="Arial"/>
      <w:color w:val="000000"/>
      <w:kern w:val="0"/>
      <w:szCs w:val="20"/>
      <w:lang w:eastAsia="en-US"/>
    </w:rPr>
  </w:style>
  <w:style w:type="paragraph" w:styleId="16">
    <w:name w:val="toc 8"/>
    <w:basedOn w:val="1"/>
    <w:next w:val="1"/>
    <w:unhideWhenUsed/>
    <w:qFormat/>
    <w:uiPriority w:val="39"/>
    <w:pPr>
      <w:ind w:left="2940" w:leftChars="1400"/>
    </w:pPr>
    <w:rPr>
      <w:rFonts w:ascii="Calibri" w:hAnsi="Calibri" w:eastAsia="宋体" w:cs="Times New Roman"/>
    </w:rPr>
  </w:style>
  <w:style w:type="paragraph" w:styleId="17">
    <w:name w:val="Balloon Text"/>
    <w:basedOn w:val="1"/>
    <w:link w:val="41"/>
    <w:semiHidden/>
    <w:unhideWhenUsed/>
    <w:qFormat/>
    <w:uiPriority w:val="99"/>
    <w:pPr>
      <w:autoSpaceDE w:val="0"/>
      <w:autoSpaceDN w:val="0"/>
      <w:jc w:val="left"/>
    </w:pPr>
    <w:rPr>
      <w:rFonts w:ascii="宋体" w:hAnsi="宋体" w:eastAsia="宋体" w:cs="宋体"/>
      <w:kern w:val="0"/>
      <w:sz w:val="18"/>
      <w:szCs w:val="18"/>
      <w:lang w:eastAsia="en-US"/>
    </w:rPr>
  </w:style>
  <w:style w:type="paragraph" w:styleId="18">
    <w:name w:val="footer"/>
    <w:basedOn w:val="1"/>
    <w:link w:val="30"/>
    <w:unhideWhenUsed/>
    <w:qFormat/>
    <w:uiPriority w:val="99"/>
    <w:pPr>
      <w:tabs>
        <w:tab w:val="center" w:pos="4153"/>
        <w:tab w:val="right" w:pos="8306"/>
      </w:tabs>
      <w:snapToGrid w:val="0"/>
      <w:jc w:val="left"/>
    </w:pPr>
    <w:rPr>
      <w:sz w:val="18"/>
      <w:szCs w:val="18"/>
    </w:rPr>
  </w:style>
  <w:style w:type="paragraph" w:styleId="19">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autoSpaceDE w:val="0"/>
      <w:autoSpaceDN w:val="0"/>
      <w:spacing w:before="130"/>
      <w:ind w:left="238"/>
      <w:jc w:val="left"/>
    </w:pPr>
    <w:rPr>
      <w:rFonts w:ascii="黑体" w:hAnsi="黑体" w:eastAsia="黑体" w:cs="黑体"/>
      <w:kern w:val="0"/>
      <w:szCs w:val="21"/>
      <w:lang w:eastAsia="en-US"/>
    </w:rPr>
  </w:style>
  <w:style w:type="paragraph" w:styleId="21">
    <w:name w:val="toc 4"/>
    <w:basedOn w:val="1"/>
    <w:next w:val="1"/>
    <w:unhideWhenUsed/>
    <w:qFormat/>
    <w:uiPriority w:val="39"/>
    <w:pPr>
      <w:ind w:left="1260" w:leftChars="600"/>
    </w:pPr>
    <w:rPr>
      <w:rFonts w:ascii="Calibri" w:hAnsi="Calibri" w:eastAsia="宋体" w:cs="Times New Roman"/>
    </w:rPr>
  </w:style>
  <w:style w:type="paragraph" w:styleId="22">
    <w:name w:val="toc 6"/>
    <w:basedOn w:val="1"/>
    <w:next w:val="1"/>
    <w:unhideWhenUsed/>
    <w:qFormat/>
    <w:uiPriority w:val="39"/>
    <w:pPr>
      <w:ind w:left="2100" w:leftChars="1000"/>
    </w:pPr>
    <w:rPr>
      <w:rFonts w:ascii="Calibri" w:hAnsi="Calibri" w:eastAsia="宋体" w:cs="Times New Roman"/>
    </w:rPr>
  </w:style>
  <w:style w:type="paragraph" w:styleId="23">
    <w:name w:val="toc 2"/>
    <w:basedOn w:val="1"/>
    <w:next w:val="1"/>
    <w:qFormat/>
    <w:uiPriority w:val="39"/>
    <w:pPr>
      <w:autoSpaceDE w:val="0"/>
      <w:autoSpaceDN w:val="0"/>
      <w:spacing w:before="132"/>
      <w:ind w:left="814" w:hanging="367"/>
      <w:jc w:val="left"/>
    </w:pPr>
    <w:rPr>
      <w:rFonts w:ascii="宋体" w:hAnsi="宋体" w:eastAsia="宋体" w:cs="宋体"/>
      <w:kern w:val="0"/>
      <w:szCs w:val="21"/>
      <w:lang w:eastAsia="en-US"/>
    </w:rPr>
  </w:style>
  <w:style w:type="paragraph" w:styleId="24">
    <w:name w:val="toc 9"/>
    <w:basedOn w:val="1"/>
    <w:next w:val="1"/>
    <w:unhideWhenUsed/>
    <w:qFormat/>
    <w:uiPriority w:val="39"/>
    <w:pPr>
      <w:ind w:left="3360" w:leftChars="1600"/>
    </w:pPr>
    <w:rPr>
      <w:rFonts w:ascii="Calibri" w:hAnsi="Calibri" w:eastAsia="宋体" w:cs="Times New Roman"/>
    </w:rPr>
  </w:style>
  <w:style w:type="character" w:styleId="27">
    <w:name w:val="Hyperlink"/>
    <w:basedOn w:val="26"/>
    <w:unhideWhenUsed/>
    <w:qFormat/>
    <w:uiPriority w:val="99"/>
    <w:rPr>
      <w:color w:val="0000FF"/>
      <w:u w:val="single"/>
    </w:rPr>
  </w:style>
  <w:style w:type="character" w:styleId="28">
    <w:name w:val="annotation reference"/>
    <w:basedOn w:val="26"/>
    <w:semiHidden/>
    <w:unhideWhenUsed/>
    <w:qFormat/>
    <w:uiPriority w:val="99"/>
    <w:rPr>
      <w:sz w:val="21"/>
      <w:szCs w:val="21"/>
    </w:rPr>
  </w:style>
  <w:style w:type="character" w:customStyle="1" w:styleId="29">
    <w:name w:val="页眉 Char"/>
    <w:basedOn w:val="26"/>
    <w:link w:val="19"/>
    <w:qFormat/>
    <w:uiPriority w:val="99"/>
    <w:rPr>
      <w:sz w:val="18"/>
      <w:szCs w:val="18"/>
    </w:rPr>
  </w:style>
  <w:style w:type="character" w:customStyle="1" w:styleId="30">
    <w:name w:val="页脚 Char"/>
    <w:basedOn w:val="26"/>
    <w:link w:val="18"/>
    <w:qFormat/>
    <w:uiPriority w:val="99"/>
    <w:rPr>
      <w:sz w:val="18"/>
      <w:szCs w:val="18"/>
    </w:rPr>
  </w:style>
  <w:style w:type="character" w:customStyle="1" w:styleId="31">
    <w:name w:val="标题 1 Char"/>
    <w:basedOn w:val="26"/>
    <w:link w:val="2"/>
    <w:qFormat/>
    <w:uiPriority w:val="0"/>
    <w:rPr>
      <w:rFonts w:ascii="黑体" w:hAnsi="黑体" w:eastAsia="黑体" w:cs="黑体"/>
      <w:kern w:val="0"/>
      <w:sz w:val="56"/>
      <w:szCs w:val="56"/>
      <w:lang w:eastAsia="en-US"/>
    </w:rPr>
  </w:style>
  <w:style w:type="character" w:customStyle="1" w:styleId="32">
    <w:name w:val="标题 2 Char"/>
    <w:basedOn w:val="26"/>
    <w:link w:val="3"/>
    <w:qFormat/>
    <w:uiPriority w:val="1"/>
    <w:rPr>
      <w:rFonts w:ascii="黑体" w:hAnsi="黑体" w:eastAsia="黑体" w:cs="黑体"/>
      <w:kern w:val="0"/>
      <w:sz w:val="48"/>
      <w:szCs w:val="48"/>
      <w:lang w:eastAsia="en-US"/>
    </w:rPr>
  </w:style>
  <w:style w:type="character" w:customStyle="1" w:styleId="33">
    <w:name w:val="标题 3 Char"/>
    <w:basedOn w:val="26"/>
    <w:link w:val="4"/>
    <w:qFormat/>
    <w:uiPriority w:val="1"/>
    <w:rPr>
      <w:rFonts w:ascii="黑体" w:hAnsi="黑体" w:eastAsia="黑体" w:cs="黑体"/>
      <w:kern w:val="0"/>
      <w:sz w:val="44"/>
      <w:szCs w:val="44"/>
      <w:lang w:eastAsia="en-US"/>
    </w:rPr>
  </w:style>
  <w:style w:type="character" w:customStyle="1" w:styleId="34">
    <w:name w:val="标题 4 Char"/>
    <w:basedOn w:val="26"/>
    <w:link w:val="5"/>
    <w:qFormat/>
    <w:uiPriority w:val="0"/>
    <w:rPr>
      <w:rFonts w:ascii="黑体" w:hAnsi="黑体" w:eastAsia="黑体" w:cs="黑体"/>
      <w:kern w:val="0"/>
      <w:sz w:val="32"/>
      <w:szCs w:val="32"/>
      <w:lang w:eastAsia="en-US"/>
    </w:rPr>
  </w:style>
  <w:style w:type="character" w:customStyle="1" w:styleId="35">
    <w:name w:val="标题 5 Char"/>
    <w:basedOn w:val="26"/>
    <w:link w:val="6"/>
    <w:qFormat/>
    <w:uiPriority w:val="1"/>
    <w:rPr>
      <w:rFonts w:ascii="黑体" w:hAnsi="黑体" w:eastAsia="黑体" w:cs="黑体"/>
      <w:kern w:val="0"/>
      <w:sz w:val="30"/>
      <w:szCs w:val="30"/>
      <w:lang w:eastAsia="en-US"/>
    </w:rPr>
  </w:style>
  <w:style w:type="character" w:customStyle="1" w:styleId="36">
    <w:name w:val="标题 6 Char"/>
    <w:basedOn w:val="26"/>
    <w:link w:val="7"/>
    <w:qFormat/>
    <w:uiPriority w:val="1"/>
    <w:rPr>
      <w:rFonts w:ascii="黑体" w:hAnsi="黑体" w:eastAsia="黑体" w:cs="黑体"/>
      <w:kern w:val="0"/>
      <w:sz w:val="28"/>
      <w:szCs w:val="28"/>
      <w:lang w:eastAsia="en-US"/>
    </w:rPr>
  </w:style>
  <w:style w:type="character" w:customStyle="1" w:styleId="37">
    <w:name w:val="标题 7 Char"/>
    <w:basedOn w:val="26"/>
    <w:link w:val="8"/>
    <w:qFormat/>
    <w:uiPriority w:val="1"/>
    <w:rPr>
      <w:rFonts w:ascii="宋体" w:hAnsi="宋体" w:eastAsia="宋体" w:cs="宋体"/>
      <w:b/>
      <w:bCs/>
      <w:kern w:val="0"/>
      <w:sz w:val="24"/>
      <w:szCs w:val="24"/>
      <w:lang w:eastAsia="en-US"/>
    </w:rPr>
  </w:style>
  <w:style w:type="character" w:customStyle="1" w:styleId="38">
    <w:name w:val="批注文字 Char"/>
    <w:basedOn w:val="26"/>
    <w:link w:val="11"/>
    <w:semiHidden/>
    <w:qFormat/>
    <w:uiPriority w:val="99"/>
    <w:rPr>
      <w:rFonts w:ascii="宋体" w:hAnsi="宋体" w:eastAsia="宋体" w:cs="宋体"/>
      <w:kern w:val="0"/>
      <w:sz w:val="22"/>
      <w:lang w:eastAsia="en-US"/>
    </w:rPr>
  </w:style>
  <w:style w:type="character" w:customStyle="1" w:styleId="39">
    <w:name w:val="正文文本 Char"/>
    <w:basedOn w:val="26"/>
    <w:link w:val="12"/>
    <w:qFormat/>
    <w:uiPriority w:val="99"/>
    <w:rPr>
      <w:rFonts w:ascii="宋体" w:hAnsi="宋体" w:eastAsia="宋体" w:cs="宋体"/>
      <w:kern w:val="0"/>
      <w:sz w:val="24"/>
      <w:szCs w:val="24"/>
      <w:lang w:eastAsia="en-US"/>
    </w:rPr>
  </w:style>
  <w:style w:type="character" w:customStyle="1" w:styleId="40">
    <w:name w:val="纯文本 Char"/>
    <w:basedOn w:val="26"/>
    <w:link w:val="15"/>
    <w:qFormat/>
    <w:uiPriority w:val="0"/>
    <w:rPr>
      <w:rFonts w:ascii="宋体" w:hAnsi="Courier New" w:eastAsia="宋体" w:cs="Arial"/>
      <w:color w:val="000000"/>
      <w:kern w:val="0"/>
      <w:szCs w:val="20"/>
      <w:lang w:eastAsia="en-US"/>
    </w:rPr>
  </w:style>
  <w:style w:type="character" w:customStyle="1" w:styleId="41">
    <w:name w:val="批注框文本 Char"/>
    <w:basedOn w:val="26"/>
    <w:link w:val="17"/>
    <w:semiHidden/>
    <w:qFormat/>
    <w:uiPriority w:val="99"/>
    <w:rPr>
      <w:rFonts w:ascii="宋体" w:hAnsi="宋体" w:eastAsia="宋体" w:cs="宋体"/>
      <w:kern w:val="0"/>
      <w:sz w:val="18"/>
      <w:szCs w:val="18"/>
      <w:lang w:eastAsia="en-US"/>
    </w:rPr>
  </w:style>
  <w:style w:type="table" w:customStyle="1" w:styleId="42">
    <w:name w:val="Table Normal"/>
    <w:semiHidden/>
    <w:unhideWhenUsed/>
    <w:qFormat/>
    <w:uiPriority w:val="2"/>
    <w:rPr>
      <w:kern w:val="0"/>
      <w:sz w:val="20"/>
      <w:szCs w:val="20"/>
    </w:rPr>
    <w:tblPr>
      <w:tblCellMar>
        <w:top w:w="0" w:type="dxa"/>
        <w:left w:w="0" w:type="dxa"/>
        <w:bottom w:w="0" w:type="dxa"/>
        <w:right w:w="0" w:type="dxa"/>
      </w:tblCellMar>
    </w:tblPr>
  </w:style>
  <w:style w:type="paragraph" w:styleId="43">
    <w:name w:val="List Paragraph"/>
    <w:basedOn w:val="1"/>
    <w:qFormat/>
    <w:uiPriority w:val="1"/>
    <w:pPr>
      <w:autoSpaceDE w:val="0"/>
      <w:autoSpaceDN w:val="0"/>
      <w:ind w:left="238" w:firstLine="480"/>
      <w:jc w:val="left"/>
    </w:pPr>
    <w:rPr>
      <w:rFonts w:ascii="宋体" w:hAnsi="宋体" w:eastAsia="宋体" w:cs="宋体"/>
      <w:kern w:val="0"/>
      <w:sz w:val="22"/>
      <w:lang w:eastAsia="en-US"/>
    </w:rPr>
  </w:style>
  <w:style w:type="paragraph" w:customStyle="1" w:styleId="44">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45">
    <w:name w:val="正文文本 21"/>
    <w:basedOn w:val="1"/>
    <w:qFormat/>
    <w:uiPriority w:val="0"/>
    <w:pPr>
      <w:widowControl/>
      <w:kinsoku w:val="0"/>
      <w:autoSpaceDE w:val="0"/>
      <w:autoSpaceDN w:val="0"/>
      <w:adjustRightInd w:val="0"/>
      <w:snapToGrid w:val="0"/>
      <w:jc w:val="left"/>
      <w:textAlignment w:val="baseline"/>
    </w:pPr>
    <w:rPr>
      <w:rFonts w:ascii="Arial" w:hAnsi="Arial" w:eastAsia="宋体" w:cs="Arial"/>
      <w:color w:val="000000"/>
      <w:kern w:val="0"/>
      <w:sz w:val="28"/>
      <w:szCs w:val="21"/>
      <w:lang w:eastAsia="en-US"/>
    </w:rPr>
  </w:style>
  <w:style w:type="paragraph" w:customStyle="1" w:styleId="46">
    <w:name w:val="Table Text"/>
    <w:basedOn w:val="1"/>
    <w:semiHidden/>
    <w:qFormat/>
    <w:uiPriority w:val="99"/>
    <w:pPr>
      <w:widowControl/>
      <w:kinsoku w:val="0"/>
      <w:autoSpaceDE w:val="0"/>
      <w:autoSpaceDN w:val="0"/>
      <w:adjustRightInd w:val="0"/>
      <w:snapToGrid w:val="0"/>
      <w:jc w:val="left"/>
      <w:textAlignment w:val="baseline"/>
    </w:pPr>
    <w:rPr>
      <w:rFonts w:ascii="Times New Roman" w:hAnsi="Times New Roman" w:eastAsia="宋体" w:cs="Times New Roman"/>
      <w:color w:val="000000"/>
      <w:kern w:val="0"/>
      <w:sz w:val="20"/>
      <w:szCs w:val="20"/>
      <w:lang w:eastAsia="en-US"/>
    </w:rPr>
  </w:style>
  <w:style w:type="character" w:customStyle="1" w:styleId="47">
    <w:name w:val="font41"/>
    <w:basedOn w:val="26"/>
    <w:qFormat/>
    <w:uiPriority w:val="0"/>
    <w:rPr>
      <w:rFonts w:hint="eastAsia" w:ascii="宋体" w:hAnsi="宋体" w:eastAsia="宋体" w:cs="宋体"/>
      <w:color w:val="000000"/>
      <w:sz w:val="36"/>
      <w:szCs w:val="36"/>
      <w:u w:val="none"/>
    </w:rPr>
  </w:style>
  <w:style w:type="table" w:customStyle="1" w:styleId="48">
    <w:name w:val="Table Normal1"/>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49">
    <w:name w:val="TOC 标题1"/>
    <w:basedOn w:val="2"/>
    <w:next w:val="1"/>
    <w:semiHidden/>
    <w:unhideWhenUsed/>
    <w:qFormat/>
    <w:uiPriority w:val="39"/>
    <w:pPr>
      <w:keepNext/>
      <w:keepLines/>
      <w:widowControl/>
      <w:autoSpaceDE/>
      <w:autoSpaceDN/>
      <w:spacing w:before="480" w:line="276" w:lineRule="auto"/>
      <w:ind w:left="0"/>
      <w:outlineLvl w:val="9"/>
    </w:pPr>
    <w:rPr>
      <w:rFonts w:ascii="Cambria" w:hAnsi="Cambria" w:eastAsia="宋体" w:cs="Times New Roman"/>
      <w:b/>
      <w:bCs/>
      <w:color w:val="365F91"/>
      <w:sz w:val="28"/>
      <w:szCs w:val="28"/>
      <w:lang w:eastAsia="zh-CN"/>
    </w:rPr>
  </w:style>
  <w:style w:type="character" w:customStyle="1" w:styleId="50">
    <w:name w:val="mini-textbox-border"/>
    <w:basedOn w:val="2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SysImg-Win10-PRO</Company>
  <Pages>7</Pages>
  <Words>1235</Words>
  <Characters>7042</Characters>
  <Lines>58</Lines>
  <Paragraphs>16</Paragraphs>
  <TotalTime>6</TotalTime>
  <ScaleCrop>false</ScaleCrop>
  <LinksUpToDate>false</LinksUpToDate>
  <CharactersWithSpaces>8261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2024-01-15T09:05:00Z</dcterms:created>
  <dc:creator>Administrator</dc:creator>
  <cp:lastModifiedBy>bxs</cp:lastModifiedBy>
  <dcterms:modified xsi:type="dcterms:W3CDTF">2026-01-27T10:34:58Z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