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800" w:lineRule="exact"/>
        <w:jc w:val="distribute"/>
      </w:pPr>
      <w:r>
        <w:rPr>
          <w:rFonts w:hint="eastAsia"/>
          <w:sz w:val="72"/>
          <w:szCs w:val="72"/>
        </w:rPr>
        <w:t xml:space="preserve"> </w:t>
      </w:r>
      <w:r>
        <w:rPr>
          <w:rFonts w:hint="eastAsia" w:ascii="方正小标宋简体" w:eastAsia="方正小标宋简体" w:cs="方正小标宋简体"/>
          <w:spacing w:val="80"/>
          <w:sz w:val="72"/>
          <w:szCs w:val="72"/>
        </w:rPr>
        <w:t>本溪市民政局</w:t>
      </w:r>
    </w:p>
    <w:p>
      <w:pPr>
        <w:tabs>
          <w:tab w:val="right" w:pos="8306"/>
        </w:tabs>
      </w:pPr>
      <w:r>
        <w:rPr>
          <w:rFonts w:ascii="Calibri" w:hAnsi="Calibri" w:eastAsia="宋体" w:cs="Times New Roman"/>
          <w:kern w:val="2"/>
          <w:sz w:val="21"/>
          <w:szCs w:val="22"/>
          <w:lang w:val="en-US" w:eastAsia="zh-CN" w:bidi="ar-SA"/>
        </w:rPr>
        <w:pict>
          <v:shape id="_x0000_s1026" o:spid="_x0000_s1026" type="#_x0000_t32" style="position:absolute;left:0;margin-left:1.5pt;margin-top:7.05pt;height:0.05pt;width:40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p>
    <w:p>
      <w:pPr>
        <w:tabs>
          <w:tab w:val="right" w:pos="8306"/>
        </w:tabs>
        <w:jc w:val="center"/>
        <w:rPr>
          <w:rFonts w:ascii="仿宋_GB2312" w:eastAsia="仿宋_GB2312"/>
          <w:sz w:val="32"/>
          <w:szCs w:val="32"/>
        </w:rPr>
      </w:pPr>
      <w:r>
        <w:rPr>
          <w:rFonts w:ascii="Calibri" w:hAnsi="Calibri" w:eastAsia="宋体" w:cs="Times New Roman"/>
          <w:kern w:val="2"/>
          <w:sz w:val="21"/>
          <w:szCs w:val="22"/>
          <w:lang w:val="en-US" w:eastAsia="zh-CN" w:bidi="ar-SA"/>
        </w:rPr>
        <w:pict>
          <v:shape id="_x0000_s1028" o:spid="_x0000_s1027" type="#_x0000_t32" style="position:absolute;left:0;margin-left:94.5pt;margin-top:20.85pt;height:0.05pt;width:0.05pt;rotation:0f;z-index:2516592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sz w:val="32"/>
          <w:szCs w:val="32"/>
        </w:rPr>
        <w:t xml:space="preserve">                                           </w:t>
      </w:r>
    </w:p>
    <w:p>
      <w:pPr>
        <w:tabs>
          <w:tab w:val="right" w:pos="8306"/>
        </w:tabs>
        <w:jc w:val="center"/>
        <w:rPr>
          <w:rFonts w:ascii="仿宋_GB2312" w:eastAsia="仿宋_GB2312"/>
          <w:sz w:val="32"/>
          <w:szCs w:val="32"/>
        </w:rPr>
      </w:pPr>
      <w:r>
        <w:rPr>
          <w:rFonts w:hint="eastAsia" w:ascii="仿宋_GB2312" w:eastAsia="仿宋_GB2312"/>
          <w:sz w:val="32"/>
          <w:szCs w:val="32"/>
        </w:rPr>
        <w:t xml:space="preserve">                                           （A1类）</w:t>
      </w:r>
    </w:p>
    <w:p>
      <w:pPr>
        <w:tabs>
          <w:tab w:val="right" w:pos="8306"/>
        </w:tabs>
        <w:wordWrap w:val="0"/>
        <w:jc w:val="right"/>
        <w:rPr>
          <w:rFonts w:ascii="仿宋_GB2312" w:eastAsia="仿宋_GB2312" w:cs="仿宋_GB2312"/>
          <w:sz w:val="32"/>
          <w:szCs w:val="32"/>
        </w:rPr>
      </w:pPr>
      <w:r>
        <w:rPr>
          <w:rFonts w:ascii="Calibri" w:hAnsi="Calibri" w:eastAsia="宋体" w:cs="Times New Roman"/>
          <w:kern w:val="2"/>
          <w:sz w:val="21"/>
          <w:szCs w:val="22"/>
          <w:lang w:val="en-US" w:eastAsia="zh-CN" w:bidi="ar-SA"/>
        </w:rPr>
        <w:pict>
          <v:shape id="_x0000_s1027" o:spid="_x0000_s1028" type="#_x0000_t32" style="position:absolute;left:0;margin-left:94.5pt;margin-top:20.85pt;height:0.05pt;width:0.05pt;rotation:0f;z-index:25166028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cs="仿宋_GB2312"/>
          <w:sz w:val="32"/>
          <w:szCs w:val="32"/>
        </w:rPr>
        <w:t>本民案字〔</w:t>
      </w:r>
      <w:r>
        <w:rPr>
          <w:rFonts w:ascii="仿宋_GB2312" w:eastAsia="仿宋_GB2312" w:cs="仿宋_GB2312"/>
          <w:sz w:val="32"/>
          <w:szCs w:val="32"/>
        </w:rPr>
        <w:t>202</w:t>
      </w:r>
      <w:r>
        <w:rPr>
          <w:rFonts w:hint="eastAsia" w:ascii="仿宋_GB2312" w:eastAsia="仿宋_GB2312" w:cs="仿宋_GB2312"/>
          <w:sz w:val="32"/>
          <w:szCs w:val="32"/>
        </w:rPr>
        <w:t>1〕第</w:t>
      </w:r>
      <w:r>
        <w:rPr>
          <w:rFonts w:hint="eastAsia" w:ascii="仿宋_GB2312" w:eastAsia="仿宋_GB2312" w:cs="仿宋_GB2312"/>
          <w:sz w:val="32"/>
          <w:szCs w:val="32"/>
          <w:lang w:val="en-US" w:eastAsia="zh-CN"/>
        </w:rPr>
        <w:t>10</w:t>
      </w:r>
      <w:bookmarkStart w:id="0" w:name="_GoBack"/>
      <w:bookmarkEnd w:id="0"/>
      <w:r>
        <w:rPr>
          <w:rFonts w:hint="eastAsia" w:ascii="仿宋_GB2312" w:eastAsia="仿宋_GB2312" w:cs="仿宋_GB2312"/>
          <w:sz w:val="32"/>
          <w:szCs w:val="32"/>
        </w:rPr>
        <w:t>号</w:t>
      </w:r>
    </w:p>
    <w:p>
      <w:pPr>
        <w:spacing w:line="560" w:lineRule="exact"/>
        <w:rPr>
          <w:rFonts w:ascii="宋体" w:hAnsi="宋体"/>
          <w:b/>
          <w:sz w:val="44"/>
          <w:szCs w:val="44"/>
        </w:rPr>
      </w:pPr>
    </w:p>
    <w:p>
      <w:pPr>
        <w:spacing w:line="560" w:lineRule="exact"/>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rPr>
        <w:t>关于对政协本溪市第十三届委员会第四次会议第4112号提案办理情况的答复</w:t>
      </w:r>
    </w:p>
    <w:p>
      <w:pPr>
        <w:spacing w:line="240" w:lineRule="auto"/>
        <w:rPr>
          <w:rFonts w:ascii="仿宋_GB2312" w:hAnsi="仿宋" w:eastAsia="仿宋_GB2312"/>
          <w:sz w:val="32"/>
          <w:szCs w:val="32"/>
        </w:rPr>
      </w:pPr>
    </w:p>
    <w:p>
      <w:pPr>
        <w:spacing w:line="240" w:lineRule="auto"/>
        <w:rPr>
          <w:rFonts w:ascii="仿宋_GB2312" w:hAnsi="仿宋" w:eastAsia="仿宋_GB2312"/>
          <w:sz w:val="32"/>
          <w:szCs w:val="32"/>
        </w:rPr>
      </w:pPr>
      <w:r>
        <w:rPr>
          <w:rFonts w:hint="eastAsia" w:ascii="仿宋_GB2312" w:hAnsi="仿宋" w:eastAsia="仿宋_GB2312"/>
          <w:sz w:val="32"/>
          <w:szCs w:val="32"/>
        </w:rPr>
        <w:t>周桂凤代表：</w:t>
      </w:r>
    </w:p>
    <w:p>
      <w:pPr>
        <w:spacing w:line="240" w:lineRule="auto"/>
        <w:ind w:firstLine="720" w:firstLineChars="225"/>
        <w:rPr>
          <w:rFonts w:ascii="仿宋" w:hAnsi="仿宋" w:eastAsia="仿宋" w:cs="仿宋"/>
          <w:bCs/>
          <w:sz w:val="32"/>
          <w:szCs w:val="32"/>
        </w:rPr>
      </w:pPr>
      <w:r>
        <w:rPr>
          <w:rFonts w:hint="eastAsia" w:ascii="仿宋" w:hAnsi="仿宋" w:eastAsia="仿宋" w:cs="仿宋"/>
          <w:bCs/>
          <w:sz w:val="32"/>
          <w:szCs w:val="32"/>
        </w:rPr>
        <w:t>您提出“</w:t>
      </w:r>
      <w:r>
        <w:rPr>
          <w:rFonts w:ascii="仿宋_GB2312" w:hAnsi="仿宋_GB2312" w:eastAsia="仿宋_GB2312"/>
          <w:color w:val="000000"/>
          <w:sz w:val="32"/>
          <w:szCs w:val="32"/>
        </w:rPr>
        <w:t>关于</w:t>
      </w:r>
      <w:r>
        <w:rPr>
          <w:rFonts w:hint="eastAsia" w:ascii="仿宋_GB2312" w:hAnsi="仿宋_GB2312" w:eastAsia="仿宋_GB2312"/>
          <w:color w:val="000000"/>
          <w:sz w:val="32"/>
          <w:szCs w:val="32"/>
        </w:rPr>
        <w:t>推进居家养老社会化服务的提案</w:t>
      </w:r>
      <w:r>
        <w:rPr>
          <w:rFonts w:hint="eastAsia" w:ascii="仿宋" w:hAnsi="仿宋" w:eastAsia="仿宋" w:cs="仿宋"/>
          <w:bCs/>
          <w:sz w:val="32"/>
          <w:szCs w:val="32"/>
        </w:rPr>
        <w:t>”收悉，现就建议中有关民政工作内容答复如下：</w:t>
      </w:r>
    </w:p>
    <w:p>
      <w:pPr>
        <w:spacing w:line="240" w:lineRule="auto"/>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widowControl/>
        <w:adjustRightInd w:val="0"/>
        <w:spacing w:line="240" w:lineRule="auto"/>
        <w:ind w:firstLine="640" w:firstLineChars="200"/>
        <w:rPr>
          <w:rFonts w:ascii="仿宋" w:hAnsi="仿宋" w:eastAsia="仿宋" w:cs="仿宋"/>
          <w:kern w:val="0"/>
          <w:sz w:val="32"/>
          <w:szCs w:val="32"/>
        </w:rPr>
      </w:pPr>
      <w:r>
        <w:rPr>
          <w:rFonts w:hint="eastAsia" w:ascii="仿宋" w:hAnsi="仿宋" w:eastAsia="仿宋" w:cs="仿宋"/>
          <w:kern w:val="0"/>
          <w:sz w:val="32"/>
          <w:szCs w:val="32"/>
        </w:rPr>
        <w:t>近年来，为扶持民办养老机构，我市按实际入住人数，对民办养老机构给予每人每月补贴140元的运营补贴；对养老机构责任保险费给予每张床位每年80元的财政补贴；另外，养老机构用水用电用气享受按居民缴费标准执行的政策。上述政策，有效促进了民办养老机构的较快发展。</w:t>
      </w:r>
    </w:p>
    <w:p>
      <w:pPr>
        <w:widowControl/>
        <w:adjustRightInd w:val="0"/>
        <w:spacing w:line="240" w:lineRule="auto"/>
        <w:ind w:firstLine="720" w:firstLineChars="225"/>
        <w:rPr>
          <w:rFonts w:ascii="黑体" w:hAnsi="黑体" w:eastAsia="黑体" w:cs="黑体"/>
          <w:bCs/>
          <w:sz w:val="32"/>
          <w:szCs w:val="32"/>
        </w:rPr>
      </w:pPr>
      <w:r>
        <w:rPr>
          <w:rFonts w:hint="eastAsia" w:ascii="仿宋" w:hAnsi="仿宋" w:eastAsia="仿宋" w:cs="仿宋"/>
          <w:kern w:val="0"/>
          <w:sz w:val="32"/>
          <w:szCs w:val="32"/>
        </w:rPr>
        <w:t>但目前，供热及天然气使用价格优惠政策还未全面落实，土地使用、投融资政策等方面还是空白。同时，受地方财力不足影响，政府投入养老事业的引导性资金不足。自2015年起，取消了新建民办养老机构建设补贴（原补贴每张床位30元）。2016年，我市因财政紧张，又取消了养老护理员岗位补贴（原标准为每人200元）。</w:t>
      </w:r>
    </w:p>
    <w:p>
      <w:pPr>
        <w:spacing w:line="240" w:lineRule="auto"/>
        <w:ind w:firstLine="720" w:firstLineChars="225"/>
        <w:rPr>
          <w:rFonts w:ascii="仿宋" w:hAnsi="仿宋" w:eastAsia="仿宋" w:cs="仿宋"/>
          <w:kern w:val="0"/>
          <w:sz w:val="32"/>
          <w:szCs w:val="32"/>
        </w:rPr>
      </w:pPr>
      <w:r>
        <w:rPr>
          <w:rFonts w:hint="eastAsia" w:ascii="仿宋" w:hAnsi="仿宋" w:eastAsia="仿宋" w:cs="仿宋"/>
          <w:bCs/>
          <w:sz w:val="32"/>
          <w:szCs w:val="32"/>
        </w:rPr>
        <w:t>从2010年至今，我市先后引佳和智慧居家等公司尝试以“互联网+”的形式开展居家养老服务。在进行市场化尝试的同时，我市还积引导本地社会工作组织参与到居家养老服务中，我市弘益社会工作发展中心正在尝试开展“志愿+抵偿”服务模式的居家养老服务工作，为居家老人提供各类生活服务。</w:t>
      </w:r>
    </w:p>
    <w:p>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2020年本溪市明山区被省民政厅、省财政厅批准为我省首批“居家和社区养老服务改革试点”地区。投资580万元（上级拨付319万元，区政府以房屋资产配套投入261万元），设立居家和社区养老服务中心8个，其中设立街道级养老服务中心1个，社区级养老服务中心7个。依托服务点位面向周边居民逐步探索开展助浴、助行、日间照料、康复护理等其他服务项目。</w:t>
      </w:r>
    </w:p>
    <w:p>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但目前居家养老服务供给能力不足，市场发育不充分。同时老年人消费支付能力较差、养老服务支付意愿不强，导致居家和社区养老服务为主的格局还未完全形成。</w:t>
      </w:r>
    </w:p>
    <w:p>
      <w:pPr>
        <w:spacing w:line="240" w:lineRule="auto"/>
        <w:ind w:firstLine="640" w:firstLineChars="200"/>
        <w:rPr>
          <w:rFonts w:ascii="黑体" w:hAnsi="黑体" w:eastAsia="黑体" w:cs="黑体"/>
          <w:sz w:val="32"/>
          <w:szCs w:val="32"/>
        </w:rPr>
      </w:pPr>
      <w:r>
        <w:rPr>
          <w:rFonts w:hint="eastAsia" w:ascii="黑体" w:hAnsi="黑体" w:eastAsia="黑体" w:cs="黑体"/>
          <w:sz w:val="32"/>
          <w:szCs w:val="32"/>
        </w:rPr>
        <w:t>二、下步打算</w:t>
      </w:r>
    </w:p>
    <w:p>
      <w:pPr>
        <w:spacing w:line="240" w:lineRule="auto"/>
        <w:ind w:firstLine="640" w:firstLineChars="200"/>
        <w:jc w:val="left"/>
        <w:rPr>
          <w:rFonts w:ascii="仿宋" w:hAnsi="仿宋" w:eastAsia="仿宋" w:cs="仿宋"/>
          <w:kern w:val="0"/>
          <w:sz w:val="32"/>
          <w:szCs w:val="32"/>
        </w:rPr>
      </w:pPr>
      <w:r>
        <w:rPr>
          <w:rFonts w:hint="eastAsia" w:ascii="仿宋" w:hAnsi="仿宋" w:eastAsia="仿宋" w:cs="仿宋"/>
          <w:sz w:val="32"/>
          <w:szCs w:val="32"/>
        </w:rPr>
        <w:t>一是在2021年积极争取省第二批居家社区养老服务试点项目。拟在溪湖区开展居家社区养老服务试点工作。</w:t>
      </w:r>
      <w:r>
        <w:rPr>
          <w:rFonts w:hint="eastAsia" w:ascii="仿宋" w:hAnsi="仿宋" w:eastAsia="仿宋" w:cs="仿宋"/>
          <w:kern w:val="0"/>
          <w:sz w:val="32"/>
          <w:szCs w:val="32"/>
        </w:rPr>
        <w:t>二是巩固</w:t>
      </w:r>
      <w:r>
        <w:rPr>
          <w:rFonts w:hint="eastAsia" w:ascii="仿宋_GB2312" w:hAnsi="仿宋_GB2312" w:eastAsia="仿宋_GB2312" w:cs="仿宋_GB2312"/>
          <w:sz w:val="32"/>
          <w:szCs w:val="32"/>
        </w:rPr>
        <w:t>明山区级居家和社区养老服务改革试点成果。进一步增强了我市养老服务设施以及居家和社区养老服务设施供给能力。三是</w:t>
      </w:r>
      <w:r>
        <w:rPr>
          <w:rFonts w:hint="eastAsia" w:ascii="仿宋" w:hAnsi="仿宋" w:eastAsia="仿宋" w:cs="仿宋"/>
          <w:kern w:val="0"/>
          <w:sz w:val="32"/>
          <w:szCs w:val="32"/>
        </w:rPr>
        <w:t>相关部门要落实养老服务机构用热、安装电话、有线(数字)电视、宽带互联网享受居民缴费的政策。要完善投融资政策。加大对养老服务业的有效信贷投入。想办法恢复建设补贴、护理员岗位补贴政策，加大吸引民间资本力度。四是采取政府购买服务，与医疗机构合作及相关院校合作的方式开展养老护理员培训，服务人才短缺问题。</w:t>
      </w: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 xml:space="preserve">                                      本溪市民政局</w:t>
      </w:r>
    </w:p>
    <w:p>
      <w:pPr>
        <w:spacing w:line="360" w:lineRule="auto"/>
        <w:rPr>
          <w:rFonts w:ascii="仿宋" w:hAnsi="仿宋" w:eastAsia="仿宋" w:cs="仿宋"/>
          <w:sz w:val="32"/>
          <w:szCs w:val="32"/>
        </w:rPr>
      </w:pPr>
      <w:r>
        <w:rPr>
          <w:rFonts w:hint="eastAsia" w:ascii="仿宋" w:hAnsi="仿宋" w:eastAsia="仿宋" w:cs="仿宋"/>
          <w:sz w:val="32"/>
          <w:szCs w:val="32"/>
        </w:rPr>
        <w:t xml:space="preserve">                                     2021年3月  日</w:t>
      </w:r>
    </w:p>
    <w:p>
      <w:pPr>
        <w:spacing w:line="360" w:lineRule="auto"/>
        <w:rPr>
          <w:rFonts w:ascii="黑体" w:hAnsi="黑体" w:eastAsia="黑体" w:cs="黑体"/>
          <w:sz w:val="32"/>
          <w:szCs w:val="32"/>
        </w:rPr>
      </w:pPr>
    </w:p>
    <w:p>
      <w:pPr>
        <w:spacing w:line="360" w:lineRule="auto"/>
        <w:rPr>
          <w:rFonts w:ascii="仿宋" w:hAnsi="仿宋" w:eastAsia="仿宋" w:cs="仿宋"/>
          <w:sz w:val="32"/>
          <w:szCs w:val="32"/>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cs="仿宋_GB2312"/>
          <w:sz w:val="28"/>
          <w:szCs w:val="28"/>
        </w:rPr>
      </w:pPr>
    </w:p>
    <w:p>
      <w:pPr>
        <w:tabs>
          <w:tab w:val="right" w:pos="8306"/>
        </w:tabs>
        <w:spacing w:line="440" w:lineRule="exact"/>
        <w:jc w:val="left"/>
        <w:rPr>
          <w:rFonts w:ascii="仿宋_GB2312" w:eastAsia="仿宋_GB2312"/>
          <w:sz w:val="28"/>
          <w:szCs w:val="28"/>
        </w:rPr>
      </w:pPr>
      <w:r>
        <w:rPr>
          <w:rFonts w:hint="eastAsia" w:ascii="仿宋_GB2312" w:eastAsia="仿宋_GB2312" w:cs="仿宋_GB2312"/>
          <w:sz w:val="28"/>
          <w:szCs w:val="28"/>
        </w:rPr>
        <w:t>责任领导：李浩言</w:t>
      </w:r>
    </w:p>
    <w:p>
      <w:pPr>
        <w:tabs>
          <w:tab w:val="right" w:pos="8306"/>
        </w:tabs>
        <w:spacing w:line="440" w:lineRule="exact"/>
        <w:jc w:val="left"/>
        <w:rPr>
          <w:rFonts w:ascii="仿宋_GB2312" w:eastAsia="仿宋_GB2312"/>
          <w:sz w:val="28"/>
          <w:szCs w:val="28"/>
        </w:rPr>
      </w:pPr>
      <w:r>
        <w:rPr>
          <w:rFonts w:hint="eastAsia" w:ascii="仿宋_GB2312" w:eastAsia="仿宋_GB2312" w:cs="仿宋_GB2312"/>
          <w:sz w:val="28"/>
          <w:szCs w:val="28"/>
        </w:rPr>
        <w:t>联系人及电话：段新宇，43841728</w:t>
      </w:r>
    </w:p>
    <w:p>
      <w:pPr>
        <w:tabs>
          <w:tab w:val="right" w:pos="8306"/>
        </w:tabs>
        <w:jc w:val="left"/>
        <w:rPr>
          <w:rFonts w:ascii="仿宋_GB2312" w:eastAsia="仿宋_GB2312"/>
          <w:sz w:val="28"/>
          <w:szCs w:val="28"/>
        </w:rPr>
      </w:pPr>
      <w:r>
        <w:rPr>
          <w:rFonts w:hint="eastAsia" w:ascii="仿宋_GB2312" w:eastAsia="仿宋_GB2312"/>
          <w:sz w:val="28"/>
          <w:szCs w:val="28"/>
        </w:rPr>
        <w:t>抄送：</w:t>
      </w:r>
      <w:r>
        <w:rPr>
          <w:rFonts w:hint="eastAsia" w:ascii="仿宋_GB2312" w:hAnsi="仿宋_GB2312" w:eastAsia="仿宋_GB2312" w:cs="仿宋_GB2312"/>
          <w:sz w:val="28"/>
          <w:szCs w:val="28"/>
        </w:rPr>
        <w:t>市政协提案委员会</w:t>
      </w:r>
      <w:r>
        <w:rPr>
          <w:rFonts w:hint="eastAsia" w:ascii="仿宋_GB2312" w:eastAsia="仿宋_GB2312"/>
          <w:sz w:val="28"/>
          <w:szCs w:val="28"/>
        </w:rPr>
        <w:t>，市政府办公室（各共同主办或协办单位）。</w:t>
      </w:r>
    </w:p>
    <w:p>
      <w:pPr>
        <w:spacing w:line="560" w:lineRule="exact"/>
        <w:rPr>
          <w:rFonts w:ascii="宋体" w:hAnsi="宋体"/>
          <w:b/>
          <w:sz w:val="44"/>
          <w:szCs w:val="44"/>
        </w:rPr>
      </w:pPr>
    </w:p>
    <w:p/>
    <w:sectPr>
      <w:footerReference r:id="rId4" w:type="default"/>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2</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iPriority w:val="99"/>
    <w:pPr>
      <w:tabs>
        <w:tab w:val="center" w:pos="4153"/>
        <w:tab w:val="right" w:pos="8306"/>
      </w:tabs>
      <w:snapToGrid w:val="0"/>
      <w:spacing w:line="240" w:lineRule="atLeast"/>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5">
    <w:name w:val="页眉 Char Char"/>
    <w:basedOn w:val="4"/>
    <w:link w:val="3"/>
    <w:uiPriority w:val="0"/>
    <w:rPr>
      <w:kern w:val="2"/>
      <w:sz w:val="18"/>
      <w:szCs w:val="18"/>
    </w:rPr>
  </w:style>
  <w:style w:type="character" w:customStyle="1" w:styleId="6">
    <w:name w:val="页脚 Char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194</Words>
  <Characters>1106</Characters>
  <Lines>9</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2021-01-26T05:20:00Z</dcterms:created>
  <dc:creator>Administrator</dc:creator>
  <cp:lastModifiedBy>Administrator</cp:lastModifiedBy>
  <dcterms:modified xsi:type="dcterms:W3CDTF">2021-04-07T01:08:55Z</dcterms:modified>
  <dc:title> 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